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340" w:rsidRPr="00CB2E7B" w:rsidRDefault="00C02AF0" w:rsidP="00625340">
      <w:pPr>
        <w:spacing w:after="0" w:line="360" w:lineRule="auto"/>
        <w:jc w:val="both"/>
        <w:rPr>
          <w:rFonts w:ascii="Palatino Linotype" w:hAnsi="Palatino Linotype" w:cs="Arial"/>
          <w:b/>
          <w:sz w:val="24"/>
          <w:szCs w:val="24"/>
        </w:rPr>
      </w:pPr>
      <w:bookmarkStart w:id="0" w:name="_GoBack"/>
      <w:bookmarkEnd w:id="0"/>
      <w:r w:rsidRPr="00CB2E7B">
        <w:rPr>
          <w:rFonts w:ascii="Palatino Linotype" w:hAnsi="Palatino Linotype" w:cs="Arial"/>
          <w:b/>
          <w:sz w:val="24"/>
          <w:szCs w:val="24"/>
        </w:rPr>
        <w:t>VOTO</w:t>
      </w:r>
      <w:r w:rsidR="00625340" w:rsidRPr="00CB2E7B">
        <w:rPr>
          <w:rFonts w:ascii="Palatino Linotype" w:hAnsi="Palatino Linotype" w:cs="Arial"/>
          <w:b/>
          <w:sz w:val="24"/>
          <w:szCs w:val="24"/>
        </w:rPr>
        <w:t xml:space="preserve"> PARTICULAR DEL COMISIONADO JOSÉ GUADALUPE LUNA HERNÁNDEZ EN EL RECURSO DE REVISIÓN </w:t>
      </w:r>
      <w:r w:rsidR="0020553F">
        <w:rPr>
          <w:rFonts w:ascii="Palatino Linotype" w:hAnsi="Palatino Linotype" w:cs="Arial"/>
          <w:b/>
          <w:sz w:val="24"/>
          <w:szCs w:val="24"/>
        </w:rPr>
        <w:t>03194</w:t>
      </w:r>
      <w:r w:rsidR="00625340" w:rsidRPr="00CB2E7B">
        <w:rPr>
          <w:rFonts w:ascii="Palatino Linotype" w:hAnsi="Palatino Linotype" w:cs="Arial"/>
          <w:b/>
          <w:sz w:val="24"/>
          <w:szCs w:val="24"/>
        </w:rPr>
        <w:t>/INFOEM/IP/RR/201</w:t>
      </w:r>
      <w:r w:rsidR="00F23E47">
        <w:rPr>
          <w:rFonts w:ascii="Palatino Linotype" w:hAnsi="Palatino Linotype" w:cs="Arial"/>
          <w:b/>
          <w:sz w:val="24"/>
          <w:szCs w:val="24"/>
        </w:rPr>
        <w:t>9</w:t>
      </w:r>
      <w:r w:rsidR="00D42114" w:rsidRPr="00CB2E7B">
        <w:rPr>
          <w:rFonts w:ascii="Palatino Linotype" w:hAnsi="Palatino Linotype" w:cs="Arial"/>
          <w:b/>
          <w:sz w:val="24"/>
          <w:szCs w:val="24"/>
        </w:rPr>
        <w:t>.</w:t>
      </w:r>
    </w:p>
    <w:p w:rsidR="00625340" w:rsidRPr="00CB2E7B" w:rsidRDefault="00625340" w:rsidP="00625340">
      <w:pPr>
        <w:spacing w:after="0" w:line="360" w:lineRule="auto"/>
        <w:jc w:val="both"/>
        <w:rPr>
          <w:rFonts w:ascii="Palatino Linotype" w:hAnsi="Palatino Linotype" w:cs="Arial"/>
          <w:b/>
          <w:sz w:val="24"/>
          <w:szCs w:val="24"/>
        </w:rPr>
      </w:pPr>
    </w:p>
    <w:p w:rsidR="00ED5A5F" w:rsidRDefault="002D5499" w:rsidP="003B4A57">
      <w:pPr>
        <w:spacing w:after="0" w:line="360" w:lineRule="auto"/>
        <w:jc w:val="both"/>
        <w:rPr>
          <w:rFonts w:ascii="Palatino Linotype" w:eastAsia="Calibri" w:hAnsi="Palatino Linotype" w:cs="Arial"/>
          <w:sz w:val="24"/>
          <w:szCs w:val="24"/>
        </w:rPr>
      </w:pPr>
      <w:r w:rsidRPr="00CB2E7B">
        <w:rPr>
          <w:rFonts w:ascii="Palatino Linotype" w:hAnsi="Palatino Linotype" w:cs="Arial"/>
          <w:b/>
          <w:sz w:val="24"/>
          <w:szCs w:val="24"/>
        </w:rPr>
        <w:t>Resumen del voto</w:t>
      </w:r>
      <w:r w:rsidR="00625340" w:rsidRPr="00CB2E7B">
        <w:rPr>
          <w:rFonts w:ascii="Palatino Linotype" w:hAnsi="Palatino Linotype" w:cs="Arial"/>
          <w:b/>
          <w:sz w:val="24"/>
          <w:szCs w:val="24"/>
        </w:rPr>
        <w:t>:</w:t>
      </w:r>
      <w:r w:rsidR="00F7333F" w:rsidRPr="00CB2E7B">
        <w:rPr>
          <w:rFonts w:ascii="Palatino Linotype" w:hAnsi="Palatino Linotype" w:cs="Arial"/>
          <w:b/>
          <w:sz w:val="24"/>
          <w:szCs w:val="24"/>
        </w:rPr>
        <w:t xml:space="preserve"> </w:t>
      </w:r>
      <w:r w:rsidR="00B82949">
        <w:rPr>
          <w:rFonts w:ascii="Palatino Linotype" w:eastAsia="Calibri" w:hAnsi="Palatino Linotype" w:cs="Arial"/>
          <w:sz w:val="24"/>
          <w:szCs w:val="24"/>
        </w:rPr>
        <w:t>Los Sujetos Obligados en el ámbito de sus competencias, atribuciones y funciones deben</w:t>
      </w:r>
      <w:r w:rsidR="00ED5A5F">
        <w:rPr>
          <w:rFonts w:ascii="Palatino Linotype" w:eastAsia="Calibri" w:hAnsi="Palatino Linotype" w:cs="Arial"/>
          <w:sz w:val="24"/>
          <w:szCs w:val="24"/>
        </w:rPr>
        <w:t xml:space="preserve"> </w:t>
      </w:r>
      <w:r w:rsidR="00B82949">
        <w:rPr>
          <w:rFonts w:ascii="Palatino Linotype" w:eastAsia="Calibri" w:hAnsi="Palatino Linotype" w:cs="Arial"/>
          <w:sz w:val="24"/>
          <w:szCs w:val="24"/>
        </w:rPr>
        <w:t>permitir de manera eficiente el acceso a la información</w:t>
      </w:r>
      <w:r w:rsidR="00ED5A5F">
        <w:rPr>
          <w:rFonts w:ascii="Palatino Linotype" w:eastAsia="Calibri" w:hAnsi="Palatino Linotype" w:cs="Arial"/>
          <w:sz w:val="24"/>
          <w:szCs w:val="24"/>
        </w:rPr>
        <w:t>,</w:t>
      </w:r>
      <w:r w:rsidR="00B82949">
        <w:rPr>
          <w:rFonts w:ascii="Palatino Linotype" w:eastAsia="Calibri" w:hAnsi="Palatino Linotype" w:cs="Arial"/>
          <w:sz w:val="24"/>
          <w:szCs w:val="24"/>
        </w:rPr>
        <w:t xml:space="preserve"> al mismo tiempo</w:t>
      </w:r>
      <w:r w:rsidR="00ED5A5F">
        <w:rPr>
          <w:rFonts w:ascii="Palatino Linotype" w:eastAsia="Calibri" w:hAnsi="Palatino Linotype" w:cs="Arial"/>
          <w:sz w:val="24"/>
          <w:szCs w:val="24"/>
        </w:rPr>
        <w:t>,</w:t>
      </w:r>
      <w:r w:rsidR="00B82949">
        <w:rPr>
          <w:rFonts w:ascii="Palatino Linotype" w:eastAsia="Calibri" w:hAnsi="Palatino Linotype" w:cs="Arial"/>
          <w:sz w:val="24"/>
          <w:szCs w:val="24"/>
        </w:rPr>
        <w:t xml:space="preserve"> </w:t>
      </w:r>
      <w:r w:rsidR="00ED5A5F">
        <w:rPr>
          <w:rFonts w:ascii="Palatino Linotype" w:eastAsia="Calibri" w:hAnsi="Palatino Linotype" w:cs="Arial"/>
          <w:sz w:val="24"/>
          <w:szCs w:val="24"/>
        </w:rPr>
        <w:t>d</w:t>
      </w:r>
      <w:r w:rsidR="00B82949">
        <w:rPr>
          <w:rFonts w:ascii="Palatino Linotype" w:eastAsia="Calibri" w:hAnsi="Palatino Linotype" w:cs="Arial"/>
          <w:sz w:val="24"/>
          <w:szCs w:val="24"/>
        </w:rPr>
        <w:t xml:space="preserve">eben </w:t>
      </w:r>
      <w:r w:rsidR="00ED5A5F">
        <w:rPr>
          <w:rFonts w:ascii="Palatino Linotype" w:eastAsia="Calibri" w:hAnsi="Palatino Linotype" w:cs="Arial"/>
          <w:sz w:val="24"/>
          <w:szCs w:val="24"/>
        </w:rPr>
        <w:t xml:space="preserve">prever las situaciones en las que sea necesario realizar una clasificación de la información bajo argumentos y fundamentos válidos. </w:t>
      </w:r>
      <w:r w:rsidR="003C2FFB">
        <w:rPr>
          <w:rFonts w:ascii="Palatino Linotype" w:eastAsia="Calibri" w:hAnsi="Palatino Linotype" w:cs="Arial"/>
          <w:sz w:val="24"/>
          <w:szCs w:val="24"/>
        </w:rPr>
        <w:t xml:space="preserve">En el presente asunto, este Órgano Garante no debió incorporar la probable clasificación del expediente solicitado. En razón de que el Sujeto Obligado, durante la sustanciación del procedimiento, fue omiso en señalar una probable actualización de </w:t>
      </w:r>
      <w:r w:rsidR="00437C30">
        <w:rPr>
          <w:rFonts w:ascii="Palatino Linotype" w:eastAsia="Calibri" w:hAnsi="Palatino Linotype" w:cs="Arial"/>
          <w:sz w:val="24"/>
          <w:szCs w:val="24"/>
        </w:rPr>
        <w:t xml:space="preserve">causal de </w:t>
      </w:r>
      <w:r w:rsidR="003C2FFB">
        <w:rPr>
          <w:rFonts w:ascii="Palatino Linotype" w:eastAsia="Calibri" w:hAnsi="Palatino Linotype" w:cs="Arial"/>
          <w:sz w:val="24"/>
          <w:szCs w:val="24"/>
        </w:rPr>
        <w:t>reserva.</w:t>
      </w:r>
    </w:p>
    <w:p w:rsidR="00FE17D8" w:rsidRDefault="00FE17D8" w:rsidP="003B4A57">
      <w:pPr>
        <w:spacing w:after="0" w:line="360" w:lineRule="auto"/>
        <w:jc w:val="both"/>
        <w:rPr>
          <w:rFonts w:ascii="Palatino Linotype" w:eastAsia="Calibri" w:hAnsi="Palatino Linotype" w:cs="Arial"/>
          <w:sz w:val="24"/>
          <w:szCs w:val="24"/>
        </w:rPr>
      </w:pPr>
    </w:p>
    <w:p w:rsidR="00FE17D8" w:rsidRDefault="00FE17D8" w:rsidP="003B4A57">
      <w:pPr>
        <w:spacing w:after="0" w:line="360" w:lineRule="auto"/>
        <w:jc w:val="both"/>
        <w:rPr>
          <w:rFonts w:ascii="Palatino Linotype" w:eastAsia="Calibri" w:hAnsi="Palatino Linotype" w:cs="Arial"/>
          <w:sz w:val="24"/>
          <w:szCs w:val="24"/>
        </w:rPr>
      </w:pPr>
      <w:r>
        <w:rPr>
          <w:rFonts w:ascii="Palatino Linotype" w:eastAsia="Calibri" w:hAnsi="Palatino Linotype" w:cs="Arial"/>
          <w:noProof/>
          <w:sz w:val="24"/>
          <w:szCs w:val="24"/>
          <w:lang w:eastAsia="es-MX"/>
        </w:rPr>
        <mc:AlternateContent>
          <mc:Choice Requires="wps">
            <w:drawing>
              <wp:anchor distT="0" distB="0" distL="114300" distR="114300" simplePos="0" relativeHeight="251659264" behindDoc="0" locked="0" layoutInCell="1" allowOverlap="1" wp14:anchorId="35F2533F" wp14:editId="2C705AE0">
                <wp:simplePos x="0" y="0"/>
                <wp:positionH relativeFrom="column">
                  <wp:posOffset>81915</wp:posOffset>
                </wp:positionH>
                <wp:positionV relativeFrom="paragraph">
                  <wp:posOffset>96520</wp:posOffset>
                </wp:positionV>
                <wp:extent cx="5476875" cy="3724275"/>
                <wp:effectExtent l="19050" t="19050" r="28575" b="28575"/>
                <wp:wrapNone/>
                <wp:docPr id="1" name="Conector recto 1"/>
                <wp:cNvGraphicFramePr/>
                <a:graphic xmlns:a="http://schemas.openxmlformats.org/drawingml/2006/main">
                  <a:graphicData uri="http://schemas.microsoft.com/office/word/2010/wordprocessingShape">
                    <wps:wsp>
                      <wps:cNvCnPr/>
                      <wps:spPr>
                        <a:xfrm>
                          <a:off x="0" y="0"/>
                          <a:ext cx="5476875" cy="3724275"/>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2A6BCD"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5pt,7.6pt" to="437.7pt,30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" strokecolor="#5b9bd5 [3204]" strokeweight="2.25pt">
                <v:stroke joinstyle="miter"/>
              </v:line>
            </w:pict>
          </mc:Fallback>
        </mc:AlternateContent>
      </w:r>
    </w:p>
    <w:p w:rsidR="00ED5A5F" w:rsidRDefault="00ED5A5F" w:rsidP="003B4A57">
      <w:pPr>
        <w:spacing w:after="0" w:line="360" w:lineRule="auto"/>
        <w:jc w:val="both"/>
        <w:rPr>
          <w:rFonts w:ascii="Palatino Linotype" w:eastAsia="Calibri" w:hAnsi="Palatino Linotype" w:cs="Arial"/>
          <w:sz w:val="24"/>
          <w:szCs w:val="24"/>
        </w:rPr>
      </w:pPr>
    </w:p>
    <w:p w:rsidR="00F72F39" w:rsidRDefault="00F72F39" w:rsidP="00625340">
      <w:pPr>
        <w:spacing w:after="0" w:line="360" w:lineRule="auto"/>
        <w:jc w:val="both"/>
        <w:rPr>
          <w:rFonts w:ascii="Palatino Linotype" w:eastAsia="Calibri" w:hAnsi="Palatino Linotype" w:cs="Arial"/>
          <w:sz w:val="24"/>
          <w:szCs w:val="24"/>
        </w:rPr>
      </w:pPr>
    </w:p>
    <w:p w:rsidR="003C2FFB" w:rsidRDefault="003C2FFB" w:rsidP="00625340">
      <w:pPr>
        <w:spacing w:after="0" w:line="360" w:lineRule="auto"/>
        <w:jc w:val="both"/>
        <w:rPr>
          <w:rFonts w:ascii="Palatino Linotype" w:eastAsia="Calibri" w:hAnsi="Palatino Linotype" w:cs="Arial"/>
          <w:sz w:val="24"/>
          <w:szCs w:val="24"/>
        </w:rPr>
      </w:pPr>
    </w:p>
    <w:p w:rsidR="0020553F" w:rsidRDefault="0020553F" w:rsidP="00625340">
      <w:pPr>
        <w:spacing w:after="0" w:line="360" w:lineRule="auto"/>
        <w:jc w:val="both"/>
        <w:rPr>
          <w:rFonts w:ascii="Palatino Linotype" w:eastAsia="Calibri" w:hAnsi="Palatino Linotype" w:cs="Arial"/>
          <w:sz w:val="24"/>
          <w:szCs w:val="24"/>
        </w:rPr>
      </w:pPr>
    </w:p>
    <w:p w:rsidR="0020553F" w:rsidRDefault="0020553F" w:rsidP="00625340">
      <w:pPr>
        <w:spacing w:after="0" w:line="360" w:lineRule="auto"/>
        <w:jc w:val="both"/>
        <w:rPr>
          <w:rFonts w:ascii="Palatino Linotype" w:eastAsia="Calibri" w:hAnsi="Palatino Linotype" w:cs="Arial"/>
          <w:sz w:val="24"/>
          <w:szCs w:val="24"/>
        </w:rPr>
      </w:pPr>
    </w:p>
    <w:p w:rsidR="0020553F" w:rsidRDefault="0020553F" w:rsidP="00625340">
      <w:pPr>
        <w:spacing w:after="0" w:line="360" w:lineRule="auto"/>
        <w:jc w:val="both"/>
        <w:rPr>
          <w:rFonts w:ascii="Palatino Linotype" w:eastAsia="Calibri" w:hAnsi="Palatino Linotype" w:cs="Arial"/>
          <w:sz w:val="24"/>
          <w:szCs w:val="24"/>
        </w:rPr>
      </w:pPr>
    </w:p>
    <w:p w:rsidR="0020553F" w:rsidRDefault="0020553F" w:rsidP="00625340">
      <w:pPr>
        <w:spacing w:after="0" w:line="360" w:lineRule="auto"/>
        <w:jc w:val="both"/>
        <w:rPr>
          <w:rFonts w:ascii="Palatino Linotype" w:eastAsia="Calibri" w:hAnsi="Palatino Linotype" w:cs="Arial"/>
          <w:sz w:val="24"/>
          <w:szCs w:val="24"/>
        </w:rPr>
      </w:pPr>
    </w:p>
    <w:p w:rsidR="0020553F" w:rsidRDefault="0020553F" w:rsidP="00625340">
      <w:pPr>
        <w:spacing w:after="0" w:line="360" w:lineRule="auto"/>
        <w:jc w:val="both"/>
        <w:rPr>
          <w:rFonts w:ascii="Palatino Linotype" w:eastAsia="Calibri" w:hAnsi="Palatino Linotype" w:cs="Arial"/>
          <w:sz w:val="24"/>
          <w:szCs w:val="24"/>
        </w:rPr>
      </w:pPr>
    </w:p>
    <w:p w:rsidR="002D2293" w:rsidRDefault="002D2293" w:rsidP="00625340">
      <w:pPr>
        <w:spacing w:after="0" w:line="360" w:lineRule="auto"/>
        <w:jc w:val="both"/>
        <w:rPr>
          <w:rFonts w:ascii="Palatino Linotype" w:eastAsia="Calibri" w:hAnsi="Palatino Linotype" w:cs="Arial"/>
          <w:sz w:val="24"/>
          <w:szCs w:val="24"/>
        </w:rPr>
      </w:pPr>
    </w:p>
    <w:sdt>
      <w:sdtPr>
        <w:rPr>
          <w:rFonts w:asciiTheme="minorHAnsi" w:eastAsiaTheme="minorHAnsi" w:hAnsiTheme="minorHAnsi" w:cstheme="minorBidi"/>
          <w:b w:val="0"/>
          <w:sz w:val="22"/>
          <w:szCs w:val="24"/>
          <w:lang w:val="es-ES" w:eastAsia="en-US"/>
        </w:rPr>
        <w:id w:val="-1339223820"/>
        <w:docPartObj>
          <w:docPartGallery w:val="Table of Contents"/>
          <w:docPartUnique/>
        </w:docPartObj>
      </w:sdtPr>
      <w:sdtEndPr>
        <w:rPr>
          <w:bCs/>
        </w:rPr>
      </w:sdtEndPr>
      <w:sdtContent>
        <w:p w:rsidR="00625340" w:rsidRPr="00CB2E7B" w:rsidRDefault="00625340">
          <w:pPr>
            <w:pStyle w:val="TtulodeTDC"/>
            <w:rPr>
              <w:szCs w:val="24"/>
            </w:rPr>
          </w:pPr>
          <w:r w:rsidRPr="00CB2E7B">
            <w:rPr>
              <w:szCs w:val="24"/>
              <w:lang w:val="es-ES"/>
            </w:rPr>
            <w:t>Índice</w:t>
          </w:r>
        </w:p>
        <w:p w:rsidR="00AF7BC9" w:rsidRDefault="00625340">
          <w:pPr>
            <w:pStyle w:val="TDC1"/>
            <w:tabs>
              <w:tab w:val="left" w:pos="440"/>
              <w:tab w:val="right" w:leader="dot" w:pos="8828"/>
            </w:tabs>
            <w:rPr>
              <w:rFonts w:eastAsiaTheme="minorEastAsia"/>
              <w:noProof/>
              <w:lang w:eastAsia="es-MX"/>
            </w:rPr>
          </w:pPr>
          <w:r w:rsidRPr="00CB2E7B">
            <w:rPr>
              <w:rFonts w:ascii="Palatino Linotype" w:hAnsi="Palatino Linotype"/>
              <w:b/>
              <w:sz w:val="24"/>
              <w:szCs w:val="24"/>
            </w:rPr>
            <w:fldChar w:fldCharType="begin"/>
          </w:r>
          <w:r w:rsidRPr="00CB2E7B">
            <w:rPr>
              <w:rFonts w:ascii="Palatino Linotype" w:hAnsi="Palatino Linotype"/>
              <w:b/>
              <w:sz w:val="24"/>
              <w:szCs w:val="24"/>
            </w:rPr>
            <w:instrText xml:space="preserve"> TOC \o "1-3" \h \z \u </w:instrText>
          </w:r>
          <w:r w:rsidRPr="00CB2E7B">
            <w:rPr>
              <w:rFonts w:ascii="Palatino Linotype" w:hAnsi="Palatino Linotype"/>
              <w:b/>
              <w:sz w:val="24"/>
              <w:szCs w:val="24"/>
            </w:rPr>
            <w:fldChar w:fldCharType="separate"/>
          </w:r>
          <w:hyperlink w:anchor="_Toc13235976" w:history="1">
            <w:r w:rsidR="00AF7BC9" w:rsidRPr="007378B2">
              <w:rPr>
                <w:rStyle w:val="Hipervnculo"/>
                <w:noProof/>
              </w:rPr>
              <w:t>A.</w:t>
            </w:r>
            <w:r w:rsidR="00AF7BC9">
              <w:rPr>
                <w:rFonts w:eastAsiaTheme="minorEastAsia"/>
                <w:noProof/>
                <w:lang w:eastAsia="es-MX"/>
              </w:rPr>
              <w:tab/>
            </w:r>
            <w:r w:rsidR="00AF7BC9" w:rsidRPr="007378B2">
              <w:rPr>
                <w:rStyle w:val="Hipervnculo"/>
                <w:noProof/>
              </w:rPr>
              <w:t>Consideraciones Generales.</w:t>
            </w:r>
            <w:r w:rsidR="00AF7BC9">
              <w:rPr>
                <w:noProof/>
                <w:webHidden/>
              </w:rPr>
              <w:tab/>
            </w:r>
            <w:r w:rsidR="00AF7BC9">
              <w:rPr>
                <w:noProof/>
                <w:webHidden/>
              </w:rPr>
              <w:fldChar w:fldCharType="begin"/>
            </w:r>
            <w:r w:rsidR="00AF7BC9">
              <w:rPr>
                <w:noProof/>
                <w:webHidden/>
              </w:rPr>
              <w:instrText xml:space="preserve"> PAGEREF _Toc13235976 \h </w:instrText>
            </w:r>
            <w:r w:rsidR="00AF7BC9">
              <w:rPr>
                <w:noProof/>
                <w:webHidden/>
              </w:rPr>
            </w:r>
            <w:r w:rsidR="00AF7BC9">
              <w:rPr>
                <w:noProof/>
                <w:webHidden/>
              </w:rPr>
              <w:fldChar w:fldCharType="separate"/>
            </w:r>
            <w:r w:rsidR="00C16265">
              <w:rPr>
                <w:noProof/>
                <w:webHidden/>
              </w:rPr>
              <w:t>3</w:t>
            </w:r>
            <w:r w:rsidR="00AF7BC9">
              <w:rPr>
                <w:noProof/>
                <w:webHidden/>
              </w:rPr>
              <w:fldChar w:fldCharType="end"/>
            </w:r>
          </w:hyperlink>
        </w:p>
        <w:p w:rsidR="00AF7BC9" w:rsidRDefault="00277347">
          <w:pPr>
            <w:pStyle w:val="TDC1"/>
            <w:tabs>
              <w:tab w:val="left" w:pos="440"/>
              <w:tab w:val="right" w:leader="dot" w:pos="8828"/>
            </w:tabs>
            <w:rPr>
              <w:rFonts w:eastAsiaTheme="minorEastAsia"/>
              <w:noProof/>
              <w:lang w:eastAsia="es-MX"/>
            </w:rPr>
          </w:pPr>
          <w:hyperlink w:anchor="_Toc13235977" w:history="1">
            <w:r w:rsidR="00AF7BC9" w:rsidRPr="007378B2">
              <w:rPr>
                <w:rStyle w:val="Hipervnculo"/>
                <w:noProof/>
              </w:rPr>
              <w:t>B.</w:t>
            </w:r>
            <w:r w:rsidR="00AF7BC9">
              <w:rPr>
                <w:rFonts w:eastAsiaTheme="minorEastAsia"/>
                <w:noProof/>
                <w:lang w:eastAsia="es-MX"/>
              </w:rPr>
              <w:tab/>
            </w:r>
            <w:r w:rsidR="00AF7BC9" w:rsidRPr="007378B2">
              <w:rPr>
                <w:rStyle w:val="Hipervnculo"/>
                <w:noProof/>
              </w:rPr>
              <w:t>De los requerimientos planteados.</w:t>
            </w:r>
            <w:r w:rsidR="00AF7BC9">
              <w:rPr>
                <w:noProof/>
                <w:webHidden/>
              </w:rPr>
              <w:tab/>
            </w:r>
            <w:r w:rsidR="00AF7BC9">
              <w:rPr>
                <w:noProof/>
                <w:webHidden/>
              </w:rPr>
              <w:fldChar w:fldCharType="begin"/>
            </w:r>
            <w:r w:rsidR="00AF7BC9">
              <w:rPr>
                <w:noProof/>
                <w:webHidden/>
              </w:rPr>
              <w:instrText xml:space="preserve"> PAGEREF _Toc13235977 \h </w:instrText>
            </w:r>
            <w:r w:rsidR="00AF7BC9">
              <w:rPr>
                <w:noProof/>
                <w:webHidden/>
              </w:rPr>
            </w:r>
            <w:r w:rsidR="00AF7BC9">
              <w:rPr>
                <w:noProof/>
                <w:webHidden/>
              </w:rPr>
              <w:fldChar w:fldCharType="separate"/>
            </w:r>
            <w:r w:rsidR="00C16265">
              <w:rPr>
                <w:noProof/>
                <w:webHidden/>
              </w:rPr>
              <w:t>6</w:t>
            </w:r>
            <w:r w:rsidR="00AF7BC9">
              <w:rPr>
                <w:noProof/>
                <w:webHidden/>
              </w:rPr>
              <w:fldChar w:fldCharType="end"/>
            </w:r>
          </w:hyperlink>
        </w:p>
        <w:p w:rsidR="00AF7BC9" w:rsidRDefault="00277347">
          <w:pPr>
            <w:pStyle w:val="TDC1"/>
            <w:tabs>
              <w:tab w:val="left" w:pos="440"/>
              <w:tab w:val="right" w:leader="dot" w:pos="8828"/>
            </w:tabs>
            <w:rPr>
              <w:rFonts w:eastAsiaTheme="minorEastAsia"/>
              <w:noProof/>
              <w:lang w:eastAsia="es-MX"/>
            </w:rPr>
          </w:pPr>
          <w:hyperlink w:anchor="_Toc13235978" w:history="1">
            <w:r w:rsidR="00AF7BC9" w:rsidRPr="007378B2">
              <w:rPr>
                <w:rStyle w:val="Hipervnculo"/>
                <w:rFonts w:cs="Arial"/>
                <w:noProof/>
              </w:rPr>
              <w:t>C.</w:t>
            </w:r>
            <w:r w:rsidR="00AF7BC9">
              <w:rPr>
                <w:rFonts w:eastAsiaTheme="minorEastAsia"/>
                <w:noProof/>
                <w:lang w:eastAsia="es-MX"/>
              </w:rPr>
              <w:tab/>
            </w:r>
            <w:r w:rsidR="00AF7BC9" w:rsidRPr="007378B2">
              <w:rPr>
                <w:rStyle w:val="Hipervnculo"/>
                <w:noProof/>
              </w:rPr>
              <w:t>De la clasificación de la información.</w:t>
            </w:r>
            <w:r w:rsidR="00AF7BC9">
              <w:rPr>
                <w:noProof/>
                <w:webHidden/>
              </w:rPr>
              <w:tab/>
            </w:r>
            <w:r w:rsidR="00AF7BC9">
              <w:rPr>
                <w:noProof/>
                <w:webHidden/>
              </w:rPr>
              <w:fldChar w:fldCharType="begin"/>
            </w:r>
            <w:r w:rsidR="00AF7BC9">
              <w:rPr>
                <w:noProof/>
                <w:webHidden/>
              </w:rPr>
              <w:instrText xml:space="preserve"> PAGEREF _Toc13235978 \h </w:instrText>
            </w:r>
            <w:r w:rsidR="00AF7BC9">
              <w:rPr>
                <w:noProof/>
                <w:webHidden/>
              </w:rPr>
            </w:r>
            <w:r w:rsidR="00AF7BC9">
              <w:rPr>
                <w:noProof/>
                <w:webHidden/>
              </w:rPr>
              <w:fldChar w:fldCharType="separate"/>
            </w:r>
            <w:r w:rsidR="00C16265">
              <w:rPr>
                <w:noProof/>
                <w:webHidden/>
              </w:rPr>
              <w:t>7</w:t>
            </w:r>
            <w:r w:rsidR="00AF7BC9">
              <w:rPr>
                <w:noProof/>
                <w:webHidden/>
              </w:rPr>
              <w:fldChar w:fldCharType="end"/>
            </w:r>
          </w:hyperlink>
        </w:p>
        <w:p w:rsidR="00AF7BC9" w:rsidRDefault="00277347">
          <w:pPr>
            <w:pStyle w:val="TDC2"/>
            <w:tabs>
              <w:tab w:val="left" w:pos="660"/>
              <w:tab w:val="right" w:leader="dot" w:pos="8828"/>
            </w:tabs>
            <w:rPr>
              <w:rFonts w:eastAsiaTheme="minorEastAsia"/>
              <w:noProof/>
              <w:lang w:eastAsia="es-MX"/>
            </w:rPr>
          </w:pPr>
          <w:hyperlink w:anchor="_Toc13235979" w:history="1">
            <w:r w:rsidR="00AF7BC9" w:rsidRPr="007378B2">
              <w:rPr>
                <w:rStyle w:val="Hipervnculo"/>
                <w:rFonts w:ascii="Palatino Linotype" w:hAnsi="Palatino Linotype"/>
                <w:b/>
                <w:noProof/>
              </w:rPr>
              <w:t>I.</w:t>
            </w:r>
            <w:r w:rsidR="00AF7BC9">
              <w:rPr>
                <w:rFonts w:eastAsiaTheme="minorEastAsia"/>
                <w:noProof/>
                <w:lang w:eastAsia="es-MX"/>
              </w:rPr>
              <w:tab/>
            </w:r>
            <w:r w:rsidR="00AF7BC9" w:rsidRPr="007378B2">
              <w:rPr>
                <w:rStyle w:val="Hipervnculo"/>
                <w:rFonts w:ascii="Palatino Linotype" w:hAnsi="Palatino Linotype"/>
                <w:b/>
                <w:noProof/>
              </w:rPr>
              <w:t>Supuestos de clasificación</w:t>
            </w:r>
            <w:r w:rsidR="00AF7BC9">
              <w:rPr>
                <w:noProof/>
                <w:webHidden/>
              </w:rPr>
              <w:tab/>
            </w:r>
            <w:r w:rsidR="00AF7BC9">
              <w:rPr>
                <w:noProof/>
                <w:webHidden/>
              </w:rPr>
              <w:fldChar w:fldCharType="begin"/>
            </w:r>
            <w:r w:rsidR="00AF7BC9">
              <w:rPr>
                <w:noProof/>
                <w:webHidden/>
              </w:rPr>
              <w:instrText xml:space="preserve"> PAGEREF _Toc13235979 \h </w:instrText>
            </w:r>
            <w:r w:rsidR="00AF7BC9">
              <w:rPr>
                <w:noProof/>
                <w:webHidden/>
              </w:rPr>
            </w:r>
            <w:r w:rsidR="00AF7BC9">
              <w:rPr>
                <w:noProof/>
                <w:webHidden/>
              </w:rPr>
              <w:fldChar w:fldCharType="separate"/>
            </w:r>
            <w:r w:rsidR="00C16265">
              <w:rPr>
                <w:noProof/>
                <w:webHidden/>
              </w:rPr>
              <w:t>11</w:t>
            </w:r>
            <w:r w:rsidR="00AF7BC9">
              <w:rPr>
                <w:noProof/>
                <w:webHidden/>
              </w:rPr>
              <w:fldChar w:fldCharType="end"/>
            </w:r>
          </w:hyperlink>
        </w:p>
        <w:p w:rsidR="00AF7BC9" w:rsidRDefault="00277347">
          <w:pPr>
            <w:pStyle w:val="TDC2"/>
            <w:tabs>
              <w:tab w:val="left" w:pos="880"/>
              <w:tab w:val="right" w:leader="dot" w:pos="8828"/>
            </w:tabs>
            <w:rPr>
              <w:rFonts w:eastAsiaTheme="minorEastAsia"/>
              <w:noProof/>
              <w:lang w:eastAsia="es-MX"/>
            </w:rPr>
          </w:pPr>
          <w:hyperlink w:anchor="_Toc13235980" w:history="1">
            <w:r w:rsidR="00AF7BC9" w:rsidRPr="007378B2">
              <w:rPr>
                <w:rStyle w:val="Hipervnculo"/>
                <w:rFonts w:ascii="Palatino Linotype" w:hAnsi="Palatino Linotype"/>
                <w:b/>
                <w:noProof/>
              </w:rPr>
              <w:t>II.</w:t>
            </w:r>
            <w:r w:rsidR="00AF7BC9">
              <w:rPr>
                <w:rFonts w:eastAsiaTheme="minorEastAsia"/>
                <w:noProof/>
                <w:lang w:eastAsia="es-MX"/>
              </w:rPr>
              <w:tab/>
            </w:r>
            <w:r w:rsidR="00AF7BC9" w:rsidRPr="007378B2">
              <w:rPr>
                <w:rStyle w:val="Hipervnculo"/>
                <w:rFonts w:ascii="Palatino Linotype" w:hAnsi="Palatino Linotype"/>
                <w:b/>
                <w:noProof/>
              </w:rPr>
              <w:t>Excepciones a los supuestos de clasificación de la información como reservada</w:t>
            </w:r>
            <w:r w:rsidR="00AF7BC9">
              <w:rPr>
                <w:noProof/>
                <w:webHidden/>
              </w:rPr>
              <w:tab/>
            </w:r>
            <w:r w:rsidR="00AF7BC9">
              <w:rPr>
                <w:noProof/>
                <w:webHidden/>
              </w:rPr>
              <w:fldChar w:fldCharType="begin"/>
            </w:r>
            <w:r w:rsidR="00AF7BC9">
              <w:rPr>
                <w:noProof/>
                <w:webHidden/>
              </w:rPr>
              <w:instrText xml:space="preserve"> PAGEREF _Toc13235980 \h </w:instrText>
            </w:r>
            <w:r w:rsidR="00AF7BC9">
              <w:rPr>
                <w:noProof/>
                <w:webHidden/>
              </w:rPr>
            </w:r>
            <w:r w:rsidR="00AF7BC9">
              <w:rPr>
                <w:noProof/>
                <w:webHidden/>
              </w:rPr>
              <w:fldChar w:fldCharType="separate"/>
            </w:r>
            <w:r w:rsidR="00C16265">
              <w:rPr>
                <w:noProof/>
                <w:webHidden/>
              </w:rPr>
              <w:t>18</w:t>
            </w:r>
            <w:r w:rsidR="00AF7BC9">
              <w:rPr>
                <w:noProof/>
                <w:webHidden/>
              </w:rPr>
              <w:fldChar w:fldCharType="end"/>
            </w:r>
          </w:hyperlink>
        </w:p>
        <w:p w:rsidR="00AF7BC9" w:rsidRDefault="00277347">
          <w:pPr>
            <w:pStyle w:val="TDC2"/>
            <w:tabs>
              <w:tab w:val="left" w:pos="880"/>
              <w:tab w:val="right" w:leader="dot" w:pos="8828"/>
            </w:tabs>
            <w:rPr>
              <w:rFonts w:eastAsiaTheme="minorEastAsia"/>
              <w:noProof/>
              <w:lang w:eastAsia="es-MX"/>
            </w:rPr>
          </w:pPr>
          <w:hyperlink w:anchor="_Toc13235981" w:history="1">
            <w:r w:rsidR="00AF7BC9" w:rsidRPr="007378B2">
              <w:rPr>
                <w:rStyle w:val="Hipervnculo"/>
                <w:rFonts w:ascii="Palatino Linotype" w:hAnsi="Palatino Linotype"/>
                <w:b/>
                <w:noProof/>
              </w:rPr>
              <w:t>III.</w:t>
            </w:r>
            <w:r w:rsidR="00AF7BC9">
              <w:rPr>
                <w:rFonts w:eastAsiaTheme="minorEastAsia"/>
                <w:noProof/>
                <w:lang w:eastAsia="es-MX"/>
              </w:rPr>
              <w:tab/>
            </w:r>
            <w:r w:rsidR="00AF7BC9" w:rsidRPr="007378B2">
              <w:rPr>
                <w:rStyle w:val="Hipervnculo"/>
                <w:rFonts w:ascii="Palatino Linotype" w:hAnsi="Palatino Linotype"/>
                <w:b/>
                <w:noProof/>
              </w:rPr>
              <w:t>La intervención del Comité de Transparencia.</w:t>
            </w:r>
            <w:r w:rsidR="00AF7BC9">
              <w:rPr>
                <w:noProof/>
                <w:webHidden/>
              </w:rPr>
              <w:tab/>
            </w:r>
            <w:r w:rsidR="00AF7BC9">
              <w:rPr>
                <w:noProof/>
                <w:webHidden/>
              </w:rPr>
              <w:fldChar w:fldCharType="begin"/>
            </w:r>
            <w:r w:rsidR="00AF7BC9">
              <w:rPr>
                <w:noProof/>
                <w:webHidden/>
              </w:rPr>
              <w:instrText xml:space="preserve"> PAGEREF _Toc13235981 \h </w:instrText>
            </w:r>
            <w:r w:rsidR="00AF7BC9">
              <w:rPr>
                <w:noProof/>
                <w:webHidden/>
              </w:rPr>
            </w:r>
            <w:r w:rsidR="00AF7BC9">
              <w:rPr>
                <w:noProof/>
                <w:webHidden/>
              </w:rPr>
              <w:fldChar w:fldCharType="separate"/>
            </w:r>
            <w:r w:rsidR="00C16265">
              <w:rPr>
                <w:noProof/>
                <w:webHidden/>
              </w:rPr>
              <w:t>19</w:t>
            </w:r>
            <w:r w:rsidR="00AF7BC9">
              <w:rPr>
                <w:noProof/>
                <w:webHidden/>
              </w:rPr>
              <w:fldChar w:fldCharType="end"/>
            </w:r>
          </w:hyperlink>
        </w:p>
        <w:p w:rsidR="00AF7BC9" w:rsidRDefault="00277347">
          <w:pPr>
            <w:pStyle w:val="TDC3"/>
            <w:tabs>
              <w:tab w:val="left" w:pos="1100"/>
              <w:tab w:val="right" w:leader="dot" w:pos="8828"/>
            </w:tabs>
            <w:rPr>
              <w:rFonts w:eastAsiaTheme="minorEastAsia"/>
              <w:noProof/>
              <w:lang w:eastAsia="es-MX"/>
            </w:rPr>
          </w:pPr>
          <w:hyperlink w:anchor="_Toc13235982" w:history="1">
            <w:r w:rsidR="00AF7BC9" w:rsidRPr="007378B2">
              <w:rPr>
                <w:rStyle w:val="Hipervnculo"/>
                <w:rFonts w:ascii="Palatino Linotype" w:hAnsi="Palatino Linotype"/>
                <w:b/>
                <w:noProof/>
              </w:rPr>
              <w:t>A)</w:t>
            </w:r>
            <w:r w:rsidR="00AF7BC9">
              <w:rPr>
                <w:rFonts w:eastAsiaTheme="minorEastAsia"/>
                <w:noProof/>
                <w:lang w:eastAsia="es-MX"/>
              </w:rPr>
              <w:tab/>
            </w:r>
            <w:r w:rsidR="00AF7BC9" w:rsidRPr="007378B2">
              <w:rPr>
                <w:rStyle w:val="Hipervnculo"/>
                <w:rFonts w:ascii="Palatino Linotype" w:hAnsi="Palatino Linotype"/>
                <w:b/>
                <w:noProof/>
              </w:rPr>
              <w:t>Formalidades para emitir el acuerdo de clasificación.</w:t>
            </w:r>
            <w:r w:rsidR="00AF7BC9">
              <w:rPr>
                <w:noProof/>
                <w:webHidden/>
              </w:rPr>
              <w:tab/>
            </w:r>
            <w:r w:rsidR="00AF7BC9">
              <w:rPr>
                <w:noProof/>
                <w:webHidden/>
              </w:rPr>
              <w:fldChar w:fldCharType="begin"/>
            </w:r>
            <w:r w:rsidR="00AF7BC9">
              <w:rPr>
                <w:noProof/>
                <w:webHidden/>
              </w:rPr>
              <w:instrText xml:space="preserve"> PAGEREF _Toc13235982 \h </w:instrText>
            </w:r>
            <w:r w:rsidR="00AF7BC9">
              <w:rPr>
                <w:noProof/>
                <w:webHidden/>
              </w:rPr>
            </w:r>
            <w:r w:rsidR="00AF7BC9">
              <w:rPr>
                <w:noProof/>
                <w:webHidden/>
              </w:rPr>
              <w:fldChar w:fldCharType="separate"/>
            </w:r>
            <w:r w:rsidR="00C16265">
              <w:rPr>
                <w:noProof/>
                <w:webHidden/>
              </w:rPr>
              <w:t>19</w:t>
            </w:r>
            <w:r w:rsidR="00AF7BC9">
              <w:rPr>
                <w:noProof/>
                <w:webHidden/>
              </w:rPr>
              <w:fldChar w:fldCharType="end"/>
            </w:r>
          </w:hyperlink>
        </w:p>
        <w:p w:rsidR="00AF7BC9" w:rsidRDefault="00277347">
          <w:pPr>
            <w:pStyle w:val="TDC2"/>
            <w:tabs>
              <w:tab w:val="left" w:pos="880"/>
              <w:tab w:val="right" w:leader="dot" w:pos="8828"/>
            </w:tabs>
            <w:rPr>
              <w:rFonts w:eastAsiaTheme="minorEastAsia"/>
              <w:noProof/>
              <w:lang w:eastAsia="es-MX"/>
            </w:rPr>
          </w:pPr>
          <w:hyperlink w:anchor="_Toc13235983" w:history="1">
            <w:r w:rsidR="00AF7BC9" w:rsidRPr="007378B2">
              <w:rPr>
                <w:rStyle w:val="Hipervnculo"/>
                <w:rFonts w:ascii="Palatino Linotype" w:hAnsi="Palatino Linotype"/>
                <w:b/>
                <w:noProof/>
              </w:rPr>
              <w:t>IV.</w:t>
            </w:r>
            <w:r w:rsidR="00AF7BC9">
              <w:rPr>
                <w:rFonts w:eastAsiaTheme="minorEastAsia"/>
                <w:noProof/>
                <w:lang w:eastAsia="es-MX"/>
              </w:rPr>
              <w:tab/>
            </w:r>
            <w:r w:rsidR="00AF7BC9" w:rsidRPr="007378B2">
              <w:rPr>
                <w:rStyle w:val="Hipervnculo"/>
                <w:rFonts w:ascii="Palatino Linotype" w:hAnsi="Palatino Linotype"/>
                <w:b/>
                <w:noProof/>
              </w:rPr>
              <w:t>Condiciones especiales de la clasificación de la información como reservada</w:t>
            </w:r>
            <w:r w:rsidR="00AF7BC9">
              <w:rPr>
                <w:noProof/>
                <w:webHidden/>
              </w:rPr>
              <w:tab/>
            </w:r>
            <w:r w:rsidR="00AF7BC9">
              <w:rPr>
                <w:noProof/>
                <w:webHidden/>
              </w:rPr>
              <w:fldChar w:fldCharType="begin"/>
            </w:r>
            <w:r w:rsidR="00AF7BC9">
              <w:rPr>
                <w:noProof/>
                <w:webHidden/>
              </w:rPr>
              <w:instrText xml:space="preserve"> PAGEREF _Toc13235983 \h </w:instrText>
            </w:r>
            <w:r w:rsidR="00AF7BC9">
              <w:rPr>
                <w:noProof/>
                <w:webHidden/>
              </w:rPr>
            </w:r>
            <w:r w:rsidR="00AF7BC9">
              <w:rPr>
                <w:noProof/>
                <w:webHidden/>
              </w:rPr>
              <w:fldChar w:fldCharType="separate"/>
            </w:r>
            <w:r w:rsidR="00C16265">
              <w:rPr>
                <w:noProof/>
                <w:webHidden/>
              </w:rPr>
              <w:t>20</w:t>
            </w:r>
            <w:r w:rsidR="00AF7BC9">
              <w:rPr>
                <w:noProof/>
                <w:webHidden/>
              </w:rPr>
              <w:fldChar w:fldCharType="end"/>
            </w:r>
          </w:hyperlink>
        </w:p>
        <w:p w:rsidR="00AF7BC9" w:rsidRDefault="00277347">
          <w:pPr>
            <w:pStyle w:val="TDC3"/>
            <w:tabs>
              <w:tab w:val="left" w:pos="880"/>
              <w:tab w:val="right" w:leader="dot" w:pos="8828"/>
            </w:tabs>
            <w:rPr>
              <w:rFonts w:eastAsiaTheme="minorEastAsia"/>
              <w:noProof/>
              <w:lang w:eastAsia="es-MX"/>
            </w:rPr>
          </w:pPr>
          <w:hyperlink w:anchor="_Toc13235984" w:history="1">
            <w:r w:rsidR="00AF7BC9" w:rsidRPr="007378B2">
              <w:rPr>
                <w:rStyle w:val="Hipervnculo"/>
                <w:rFonts w:ascii="Palatino Linotype" w:hAnsi="Palatino Linotype"/>
                <w:b/>
                <w:noProof/>
              </w:rPr>
              <w:t>a.</w:t>
            </w:r>
            <w:r w:rsidR="00AF7BC9">
              <w:rPr>
                <w:rFonts w:eastAsiaTheme="minorEastAsia"/>
                <w:noProof/>
                <w:lang w:eastAsia="es-MX"/>
              </w:rPr>
              <w:tab/>
            </w:r>
            <w:r w:rsidR="00AF7BC9" w:rsidRPr="007378B2">
              <w:rPr>
                <w:rStyle w:val="Hipervnculo"/>
                <w:rFonts w:ascii="Palatino Linotype" w:hAnsi="Palatino Linotype"/>
                <w:b/>
                <w:noProof/>
              </w:rPr>
              <w:t>La fundamentación específica</w:t>
            </w:r>
            <w:r w:rsidR="00AF7BC9">
              <w:rPr>
                <w:noProof/>
                <w:webHidden/>
              </w:rPr>
              <w:tab/>
            </w:r>
            <w:r w:rsidR="00AF7BC9">
              <w:rPr>
                <w:noProof/>
                <w:webHidden/>
              </w:rPr>
              <w:fldChar w:fldCharType="begin"/>
            </w:r>
            <w:r w:rsidR="00AF7BC9">
              <w:rPr>
                <w:noProof/>
                <w:webHidden/>
              </w:rPr>
              <w:instrText xml:space="preserve"> PAGEREF _Toc13235984 \h </w:instrText>
            </w:r>
            <w:r w:rsidR="00AF7BC9">
              <w:rPr>
                <w:noProof/>
                <w:webHidden/>
              </w:rPr>
            </w:r>
            <w:r w:rsidR="00AF7BC9">
              <w:rPr>
                <w:noProof/>
                <w:webHidden/>
              </w:rPr>
              <w:fldChar w:fldCharType="separate"/>
            </w:r>
            <w:r w:rsidR="00C16265">
              <w:rPr>
                <w:noProof/>
                <w:webHidden/>
              </w:rPr>
              <w:t>20</w:t>
            </w:r>
            <w:r w:rsidR="00AF7BC9">
              <w:rPr>
                <w:noProof/>
                <w:webHidden/>
              </w:rPr>
              <w:fldChar w:fldCharType="end"/>
            </w:r>
          </w:hyperlink>
        </w:p>
        <w:p w:rsidR="00AF7BC9" w:rsidRDefault="00277347">
          <w:pPr>
            <w:pStyle w:val="TDC3"/>
            <w:tabs>
              <w:tab w:val="left" w:pos="880"/>
              <w:tab w:val="right" w:leader="dot" w:pos="8828"/>
            </w:tabs>
            <w:rPr>
              <w:rFonts w:eastAsiaTheme="minorEastAsia"/>
              <w:noProof/>
              <w:lang w:eastAsia="es-MX"/>
            </w:rPr>
          </w:pPr>
          <w:hyperlink w:anchor="_Toc13235985" w:history="1">
            <w:r w:rsidR="00AF7BC9" w:rsidRPr="007378B2">
              <w:rPr>
                <w:rStyle w:val="Hipervnculo"/>
                <w:rFonts w:ascii="Palatino Linotype" w:hAnsi="Palatino Linotype"/>
                <w:b/>
                <w:noProof/>
              </w:rPr>
              <w:t>b.</w:t>
            </w:r>
            <w:r w:rsidR="00AF7BC9">
              <w:rPr>
                <w:rFonts w:eastAsiaTheme="minorEastAsia"/>
                <w:noProof/>
                <w:lang w:eastAsia="es-MX"/>
              </w:rPr>
              <w:tab/>
            </w:r>
            <w:r w:rsidR="00AF7BC9" w:rsidRPr="007378B2">
              <w:rPr>
                <w:rStyle w:val="Hipervnculo"/>
                <w:rFonts w:ascii="Palatino Linotype" w:hAnsi="Palatino Linotype"/>
                <w:b/>
                <w:noProof/>
              </w:rPr>
              <w:t>La prueba de daño</w:t>
            </w:r>
            <w:r w:rsidR="00AF7BC9">
              <w:rPr>
                <w:noProof/>
                <w:webHidden/>
              </w:rPr>
              <w:tab/>
            </w:r>
            <w:r w:rsidR="00AF7BC9">
              <w:rPr>
                <w:noProof/>
                <w:webHidden/>
              </w:rPr>
              <w:fldChar w:fldCharType="begin"/>
            </w:r>
            <w:r w:rsidR="00AF7BC9">
              <w:rPr>
                <w:noProof/>
                <w:webHidden/>
              </w:rPr>
              <w:instrText xml:space="preserve"> PAGEREF _Toc13235985 \h </w:instrText>
            </w:r>
            <w:r w:rsidR="00AF7BC9">
              <w:rPr>
                <w:noProof/>
                <w:webHidden/>
              </w:rPr>
            </w:r>
            <w:r w:rsidR="00AF7BC9">
              <w:rPr>
                <w:noProof/>
                <w:webHidden/>
              </w:rPr>
              <w:fldChar w:fldCharType="separate"/>
            </w:r>
            <w:r w:rsidR="00C16265">
              <w:rPr>
                <w:noProof/>
                <w:webHidden/>
              </w:rPr>
              <w:t>21</w:t>
            </w:r>
            <w:r w:rsidR="00AF7BC9">
              <w:rPr>
                <w:noProof/>
                <w:webHidden/>
              </w:rPr>
              <w:fldChar w:fldCharType="end"/>
            </w:r>
          </w:hyperlink>
        </w:p>
        <w:p w:rsidR="00AF7BC9" w:rsidRDefault="00277347">
          <w:pPr>
            <w:pStyle w:val="TDC3"/>
            <w:tabs>
              <w:tab w:val="left" w:pos="880"/>
              <w:tab w:val="right" w:leader="dot" w:pos="8828"/>
            </w:tabs>
            <w:rPr>
              <w:rFonts w:eastAsiaTheme="minorEastAsia"/>
              <w:noProof/>
              <w:lang w:eastAsia="es-MX"/>
            </w:rPr>
          </w:pPr>
          <w:hyperlink w:anchor="_Toc13235986" w:history="1">
            <w:r w:rsidR="00AF7BC9" w:rsidRPr="007378B2">
              <w:rPr>
                <w:rStyle w:val="Hipervnculo"/>
                <w:rFonts w:ascii="Palatino Linotype" w:hAnsi="Palatino Linotype"/>
                <w:b/>
                <w:noProof/>
              </w:rPr>
              <w:t>c.</w:t>
            </w:r>
            <w:r w:rsidR="00AF7BC9">
              <w:rPr>
                <w:rFonts w:eastAsiaTheme="minorEastAsia"/>
                <w:noProof/>
                <w:lang w:eastAsia="es-MX"/>
              </w:rPr>
              <w:tab/>
            </w:r>
            <w:r w:rsidR="00AF7BC9" w:rsidRPr="007378B2">
              <w:rPr>
                <w:rStyle w:val="Hipervnculo"/>
                <w:rFonts w:ascii="Palatino Linotype" w:hAnsi="Palatino Linotype"/>
                <w:b/>
                <w:noProof/>
              </w:rPr>
              <w:t>La clasificación de la información reservada debe ser de manera temporal.</w:t>
            </w:r>
            <w:r w:rsidR="00AF7BC9">
              <w:rPr>
                <w:noProof/>
                <w:webHidden/>
              </w:rPr>
              <w:tab/>
            </w:r>
            <w:r w:rsidR="00AF7BC9">
              <w:rPr>
                <w:noProof/>
                <w:webHidden/>
              </w:rPr>
              <w:fldChar w:fldCharType="begin"/>
            </w:r>
            <w:r w:rsidR="00AF7BC9">
              <w:rPr>
                <w:noProof/>
                <w:webHidden/>
              </w:rPr>
              <w:instrText xml:space="preserve"> PAGEREF _Toc13235986 \h </w:instrText>
            </w:r>
            <w:r w:rsidR="00AF7BC9">
              <w:rPr>
                <w:noProof/>
                <w:webHidden/>
              </w:rPr>
            </w:r>
            <w:r w:rsidR="00AF7BC9">
              <w:rPr>
                <w:noProof/>
                <w:webHidden/>
              </w:rPr>
              <w:fldChar w:fldCharType="separate"/>
            </w:r>
            <w:r w:rsidR="00C16265">
              <w:rPr>
                <w:noProof/>
                <w:webHidden/>
              </w:rPr>
              <w:t>24</w:t>
            </w:r>
            <w:r w:rsidR="00AF7BC9">
              <w:rPr>
                <w:noProof/>
                <w:webHidden/>
              </w:rPr>
              <w:fldChar w:fldCharType="end"/>
            </w:r>
          </w:hyperlink>
        </w:p>
        <w:p w:rsidR="00AF7BC9" w:rsidRDefault="00277347">
          <w:pPr>
            <w:pStyle w:val="TDC1"/>
            <w:tabs>
              <w:tab w:val="left" w:pos="440"/>
              <w:tab w:val="right" w:leader="dot" w:pos="8828"/>
            </w:tabs>
            <w:rPr>
              <w:rFonts w:eastAsiaTheme="minorEastAsia"/>
              <w:noProof/>
              <w:lang w:eastAsia="es-MX"/>
            </w:rPr>
          </w:pPr>
          <w:hyperlink w:anchor="_Toc13235987" w:history="1">
            <w:r w:rsidR="00AF7BC9" w:rsidRPr="007378B2">
              <w:rPr>
                <w:rStyle w:val="Hipervnculo"/>
                <w:noProof/>
              </w:rPr>
              <w:t>D.</w:t>
            </w:r>
            <w:r w:rsidR="00AF7BC9">
              <w:rPr>
                <w:rFonts w:eastAsiaTheme="minorEastAsia"/>
                <w:noProof/>
                <w:lang w:eastAsia="es-MX"/>
              </w:rPr>
              <w:tab/>
            </w:r>
            <w:r w:rsidR="00AF7BC9" w:rsidRPr="007378B2">
              <w:rPr>
                <w:rStyle w:val="Hipervnculo"/>
                <w:noProof/>
              </w:rPr>
              <w:t>Del pronunciamiento simple</w:t>
            </w:r>
            <w:r w:rsidR="00AF7BC9">
              <w:rPr>
                <w:noProof/>
                <w:webHidden/>
              </w:rPr>
              <w:tab/>
            </w:r>
            <w:r w:rsidR="00AF7BC9">
              <w:rPr>
                <w:noProof/>
                <w:webHidden/>
              </w:rPr>
              <w:fldChar w:fldCharType="begin"/>
            </w:r>
            <w:r w:rsidR="00AF7BC9">
              <w:rPr>
                <w:noProof/>
                <w:webHidden/>
              </w:rPr>
              <w:instrText xml:space="preserve"> PAGEREF _Toc13235987 \h </w:instrText>
            </w:r>
            <w:r w:rsidR="00AF7BC9">
              <w:rPr>
                <w:noProof/>
                <w:webHidden/>
              </w:rPr>
            </w:r>
            <w:r w:rsidR="00AF7BC9">
              <w:rPr>
                <w:noProof/>
                <w:webHidden/>
              </w:rPr>
              <w:fldChar w:fldCharType="separate"/>
            </w:r>
            <w:r w:rsidR="00C16265">
              <w:rPr>
                <w:b/>
                <w:bCs/>
                <w:noProof/>
                <w:webHidden/>
                <w:lang w:val="es-ES"/>
              </w:rPr>
              <w:t>¡Error! Marcador no definido.</w:t>
            </w:r>
            <w:r w:rsidR="00AF7BC9">
              <w:rPr>
                <w:noProof/>
                <w:webHidden/>
              </w:rPr>
              <w:fldChar w:fldCharType="end"/>
            </w:r>
          </w:hyperlink>
        </w:p>
        <w:p w:rsidR="00AF7BC9" w:rsidRDefault="00277347">
          <w:pPr>
            <w:pStyle w:val="TDC2"/>
            <w:tabs>
              <w:tab w:val="left" w:pos="660"/>
              <w:tab w:val="right" w:leader="dot" w:pos="8828"/>
            </w:tabs>
            <w:rPr>
              <w:rFonts w:eastAsiaTheme="minorEastAsia"/>
              <w:noProof/>
              <w:lang w:eastAsia="es-MX"/>
            </w:rPr>
          </w:pPr>
          <w:hyperlink w:anchor="_Toc13235988" w:history="1">
            <w:r w:rsidR="00AF7BC9" w:rsidRPr="007378B2">
              <w:rPr>
                <w:rStyle w:val="Hipervnculo"/>
                <w:rFonts w:ascii="Palatino Linotype" w:hAnsi="Palatino Linotype"/>
                <w:b/>
                <w:noProof/>
              </w:rPr>
              <w:t>a)</w:t>
            </w:r>
            <w:r w:rsidR="00AF7BC9">
              <w:rPr>
                <w:rFonts w:eastAsiaTheme="minorEastAsia"/>
                <w:noProof/>
                <w:lang w:eastAsia="es-MX"/>
              </w:rPr>
              <w:tab/>
            </w:r>
            <w:r w:rsidR="00AF7BC9" w:rsidRPr="007378B2">
              <w:rPr>
                <w:rStyle w:val="Hipervnculo"/>
                <w:rFonts w:ascii="Palatino Linotype" w:hAnsi="Palatino Linotype"/>
                <w:b/>
                <w:noProof/>
              </w:rPr>
              <w:t>Del Derecho de Acceso a la información pública y el deber de motivar.</w:t>
            </w:r>
            <w:r w:rsidR="00AF7BC9">
              <w:rPr>
                <w:noProof/>
                <w:webHidden/>
              </w:rPr>
              <w:tab/>
            </w:r>
            <w:r w:rsidR="00AF7BC9">
              <w:rPr>
                <w:noProof/>
                <w:webHidden/>
              </w:rPr>
              <w:fldChar w:fldCharType="begin"/>
            </w:r>
            <w:r w:rsidR="00AF7BC9">
              <w:rPr>
                <w:noProof/>
                <w:webHidden/>
              </w:rPr>
              <w:instrText xml:space="preserve"> PAGEREF _Toc13235988 \h </w:instrText>
            </w:r>
            <w:r w:rsidR="00AF7BC9">
              <w:rPr>
                <w:noProof/>
                <w:webHidden/>
              </w:rPr>
            </w:r>
            <w:r w:rsidR="00AF7BC9">
              <w:rPr>
                <w:noProof/>
                <w:webHidden/>
              </w:rPr>
              <w:fldChar w:fldCharType="separate"/>
            </w:r>
            <w:r w:rsidR="00C16265">
              <w:rPr>
                <w:b/>
                <w:bCs/>
                <w:noProof/>
                <w:webHidden/>
                <w:lang w:val="es-ES"/>
              </w:rPr>
              <w:t>¡Error! Marcador no definido.</w:t>
            </w:r>
            <w:r w:rsidR="00AF7BC9">
              <w:rPr>
                <w:noProof/>
                <w:webHidden/>
              </w:rPr>
              <w:fldChar w:fldCharType="end"/>
            </w:r>
          </w:hyperlink>
        </w:p>
        <w:p w:rsidR="00AF7BC9" w:rsidRDefault="00277347">
          <w:pPr>
            <w:pStyle w:val="TDC2"/>
            <w:tabs>
              <w:tab w:val="left" w:pos="660"/>
              <w:tab w:val="right" w:leader="dot" w:pos="8828"/>
            </w:tabs>
            <w:rPr>
              <w:rFonts w:eastAsiaTheme="minorEastAsia"/>
              <w:noProof/>
              <w:lang w:eastAsia="es-MX"/>
            </w:rPr>
          </w:pPr>
          <w:hyperlink w:anchor="_Toc13235989" w:history="1">
            <w:r w:rsidR="00AF7BC9" w:rsidRPr="007378B2">
              <w:rPr>
                <w:rStyle w:val="Hipervnculo"/>
                <w:rFonts w:ascii="Palatino Linotype" w:eastAsia="Calibri" w:hAnsi="Palatino Linotype"/>
                <w:b/>
                <w:noProof/>
              </w:rPr>
              <w:t>b)</w:t>
            </w:r>
            <w:r w:rsidR="00AF7BC9">
              <w:rPr>
                <w:rFonts w:eastAsiaTheme="minorEastAsia"/>
                <w:noProof/>
                <w:lang w:eastAsia="es-MX"/>
              </w:rPr>
              <w:tab/>
            </w:r>
            <w:r w:rsidR="00AF7BC9" w:rsidRPr="007378B2">
              <w:rPr>
                <w:rStyle w:val="Hipervnculo"/>
                <w:rFonts w:ascii="Palatino Linotype" w:eastAsia="Calibri" w:hAnsi="Palatino Linotype"/>
                <w:b/>
                <w:noProof/>
              </w:rPr>
              <w:t>De la fundamentación y motivación.</w:t>
            </w:r>
            <w:r w:rsidR="00AF7BC9">
              <w:rPr>
                <w:noProof/>
                <w:webHidden/>
              </w:rPr>
              <w:tab/>
            </w:r>
            <w:r w:rsidR="00AF7BC9">
              <w:rPr>
                <w:noProof/>
                <w:webHidden/>
              </w:rPr>
              <w:fldChar w:fldCharType="begin"/>
            </w:r>
            <w:r w:rsidR="00AF7BC9">
              <w:rPr>
                <w:noProof/>
                <w:webHidden/>
              </w:rPr>
              <w:instrText xml:space="preserve"> PAGEREF _Toc13235989 \h </w:instrText>
            </w:r>
            <w:r w:rsidR="00AF7BC9">
              <w:rPr>
                <w:noProof/>
                <w:webHidden/>
              </w:rPr>
            </w:r>
            <w:r w:rsidR="00AF7BC9">
              <w:rPr>
                <w:noProof/>
                <w:webHidden/>
              </w:rPr>
              <w:fldChar w:fldCharType="separate"/>
            </w:r>
            <w:r w:rsidR="00C16265">
              <w:rPr>
                <w:b/>
                <w:bCs/>
                <w:noProof/>
                <w:webHidden/>
                <w:lang w:val="es-ES"/>
              </w:rPr>
              <w:t>¡Error! Marcador no definido.</w:t>
            </w:r>
            <w:r w:rsidR="00AF7BC9">
              <w:rPr>
                <w:noProof/>
                <w:webHidden/>
              </w:rPr>
              <w:fldChar w:fldCharType="end"/>
            </w:r>
          </w:hyperlink>
        </w:p>
        <w:p w:rsidR="00AF7BC9" w:rsidRDefault="00277347">
          <w:pPr>
            <w:pStyle w:val="TDC1"/>
            <w:tabs>
              <w:tab w:val="left" w:pos="440"/>
              <w:tab w:val="right" w:leader="dot" w:pos="8828"/>
            </w:tabs>
            <w:rPr>
              <w:rFonts w:eastAsiaTheme="minorEastAsia"/>
              <w:noProof/>
              <w:lang w:eastAsia="es-MX"/>
            </w:rPr>
          </w:pPr>
          <w:hyperlink w:anchor="_Toc13235990" w:history="1">
            <w:r w:rsidR="00AF7BC9" w:rsidRPr="007378B2">
              <w:rPr>
                <w:rStyle w:val="Hipervnculo"/>
                <w:noProof/>
              </w:rPr>
              <w:t>E.</w:t>
            </w:r>
            <w:r w:rsidR="00AF7BC9">
              <w:rPr>
                <w:rFonts w:eastAsiaTheme="minorEastAsia"/>
                <w:noProof/>
                <w:lang w:eastAsia="es-MX"/>
              </w:rPr>
              <w:tab/>
            </w:r>
            <w:r w:rsidR="00AF7BC9" w:rsidRPr="007378B2">
              <w:rPr>
                <w:rStyle w:val="Hipervnculo"/>
                <w:noProof/>
              </w:rPr>
              <w:t>Conclusión.</w:t>
            </w:r>
            <w:r w:rsidR="00AF7BC9">
              <w:rPr>
                <w:noProof/>
                <w:webHidden/>
              </w:rPr>
              <w:tab/>
            </w:r>
            <w:r w:rsidR="00AF7BC9">
              <w:rPr>
                <w:noProof/>
                <w:webHidden/>
              </w:rPr>
              <w:fldChar w:fldCharType="begin"/>
            </w:r>
            <w:r w:rsidR="00AF7BC9">
              <w:rPr>
                <w:noProof/>
                <w:webHidden/>
              </w:rPr>
              <w:instrText xml:space="preserve"> PAGEREF _Toc13235990 \h </w:instrText>
            </w:r>
            <w:r w:rsidR="00AF7BC9">
              <w:rPr>
                <w:noProof/>
                <w:webHidden/>
              </w:rPr>
            </w:r>
            <w:r w:rsidR="00AF7BC9">
              <w:rPr>
                <w:noProof/>
                <w:webHidden/>
              </w:rPr>
              <w:fldChar w:fldCharType="separate"/>
            </w:r>
            <w:r w:rsidR="00C16265">
              <w:rPr>
                <w:noProof/>
                <w:webHidden/>
              </w:rPr>
              <w:t>25</w:t>
            </w:r>
            <w:r w:rsidR="00AF7BC9">
              <w:rPr>
                <w:noProof/>
                <w:webHidden/>
              </w:rPr>
              <w:fldChar w:fldCharType="end"/>
            </w:r>
          </w:hyperlink>
        </w:p>
        <w:p w:rsidR="00625340" w:rsidRPr="00CB2E7B" w:rsidRDefault="00625340">
          <w:pPr>
            <w:rPr>
              <w:rFonts w:ascii="Palatino Linotype" w:hAnsi="Palatino Linotype"/>
              <w:b/>
              <w:bCs/>
              <w:sz w:val="24"/>
              <w:szCs w:val="24"/>
              <w:lang w:val="es-ES"/>
            </w:rPr>
          </w:pPr>
          <w:r w:rsidRPr="00CB2E7B">
            <w:rPr>
              <w:rFonts w:ascii="Palatino Linotype" w:hAnsi="Palatino Linotype"/>
              <w:b/>
              <w:bCs/>
              <w:sz w:val="24"/>
              <w:szCs w:val="24"/>
              <w:lang w:val="es-ES"/>
            </w:rPr>
            <w:fldChar w:fldCharType="end"/>
          </w:r>
        </w:p>
      </w:sdtContent>
    </w:sdt>
    <w:p w:rsidR="0025332E" w:rsidRPr="00CB2E7B" w:rsidRDefault="0025332E" w:rsidP="0025332E">
      <w:pPr>
        <w:pStyle w:val="Ttulo1"/>
        <w:rPr>
          <w:szCs w:val="24"/>
        </w:rPr>
      </w:pPr>
    </w:p>
    <w:p w:rsidR="00D35091" w:rsidRPr="00CB2E7B" w:rsidRDefault="00D35091" w:rsidP="00D35091">
      <w:pPr>
        <w:rPr>
          <w:rFonts w:ascii="Palatino Linotype" w:hAnsi="Palatino Linotype"/>
          <w:sz w:val="24"/>
          <w:szCs w:val="24"/>
        </w:rPr>
      </w:pPr>
    </w:p>
    <w:p w:rsidR="00F72F39" w:rsidRDefault="00F72F39" w:rsidP="00D35091">
      <w:pPr>
        <w:rPr>
          <w:rFonts w:ascii="Palatino Linotype" w:hAnsi="Palatino Linotype"/>
          <w:sz w:val="24"/>
          <w:szCs w:val="24"/>
        </w:rPr>
      </w:pPr>
    </w:p>
    <w:p w:rsidR="003C2FFB" w:rsidRDefault="003C2FFB" w:rsidP="00D35091">
      <w:pPr>
        <w:rPr>
          <w:rFonts w:ascii="Palatino Linotype" w:hAnsi="Palatino Linotype"/>
          <w:sz w:val="24"/>
          <w:szCs w:val="24"/>
        </w:rPr>
      </w:pPr>
    </w:p>
    <w:p w:rsidR="00F72F39" w:rsidRDefault="00F72F39" w:rsidP="00D35091">
      <w:pPr>
        <w:rPr>
          <w:rFonts w:ascii="Palatino Linotype" w:hAnsi="Palatino Linotype"/>
          <w:sz w:val="24"/>
          <w:szCs w:val="24"/>
        </w:rPr>
      </w:pPr>
    </w:p>
    <w:p w:rsidR="00F72F39" w:rsidRDefault="00F72F39" w:rsidP="00D35091">
      <w:pPr>
        <w:rPr>
          <w:rFonts w:ascii="Palatino Linotype" w:hAnsi="Palatino Linotype"/>
          <w:sz w:val="24"/>
          <w:szCs w:val="24"/>
        </w:rPr>
      </w:pPr>
    </w:p>
    <w:p w:rsidR="00F72F39" w:rsidRDefault="00F72F39" w:rsidP="00D35091">
      <w:pPr>
        <w:rPr>
          <w:rFonts w:ascii="Palatino Linotype" w:hAnsi="Palatino Linotype"/>
          <w:sz w:val="24"/>
          <w:szCs w:val="24"/>
        </w:rPr>
      </w:pPr>
    </w:p>
    <w:p w:rsidR="00625340" w:rsidRPr="00CB2E7B" w:rsidRDefault="00625340" w:rsidP="003E4DF1">
      <w:pPr>
        <w:pStyle w:val="Ttulo1"/>
        <w:numPr>
          <w:ilvl w:val="0"/>
          <w:numId w:val="2"/>
        </w:numPr>
        <w:ind w:left="993" w:hanging="567"/>
        <w:rPr>
          <w:szCs w:val="24"/>
        </w:rPr>
      </w:pPr>
      <w:bookmarkStart w:id="1" w:name="_Toc13235976"/>
      <w:r w:rsidRPr="00CB2E7B">
        <w:rPr>
          <w:szCs w:val="24"/>
        </w:rPr>
        <w:t>Consideraciones Generales</w:t>
      </w:r>
      <w:r w:rsidR="004074C0" w:rsidRPr="00CB2E7B">
        <w:rPr>
          <w:szCs w:val="24"/>
        </w:rPr>
        <w:t>.</w:t>
      </w:r>
      <w:bookmarkEnd w:id="1"/>
    </w:p>
    <w:p w:rsidR="003431E5" w:rsidRPr="00CB2E7B" w:rsidRDefault="003431E5" w:rsidP="003431E5">
      <w:pPr>
        <w:rPr>
          <w:rFonts w:ascii="Palatino Linotype" w:hAnsi="Palatino Linotype"/>
          <w:sz w:val="24"/>
          <w:szCs w:val="24"/>
        </w:rPr>
      </w:pPr>
    </w:p>
    <w:p w:rsidR="00625340" w:rsidRPr="00CB2E7B" w:rsidRDefault="00703F02" w:rsidP="003E4DF1">
      <w:pPr>
        <w:pStyle w:val="Prrafodelista"/>
        <w:numPr>
          <w:ilvl w:val="0"/>
          <w:numId w:val="1"/>
        </w:numPr>
        <w:spacing w:after="0" w:line="360" w:lineRule="auto"/>
        <w:ind w:left="426"/>
        <w:jc w:val="both"/>
        <w:rPr>
          <w:rFonts w:ascii="Palatino Linotype" w:hAnsi="Palatino Linotype" w:cs="Arial"/>
          <w:b/>
          <w:sz w:val="24"/>
          <w:szCs w:val="24"/>
        </w:rPr>
      </w:pPr>
      <w:r w:rsidRPr="00CB2E7B">
        <w:rPr>
          <w:rFonts w:ascii="Palatino Linotype" w:eastAsia="Times New Roman" w:hAnsi="Palatino Linotype" w:cs="Arial"/>
          <w:sz w:val="24"/>
          <w:szCs w:val="24"/>
          <w:lang w:val="es-ES_tradnl"/>
        </w:rPr>
        <w:t xml:space="preserve">He concurrido con mi </w:t>
      </w:r>
      <w:r w:rsidR="00C02AF0" w:rsidRPr="00CB2E7B">
        <w:rPr>
          <w:rFonts w:ascii="Palatino Linotype" w:eastAsia="Times New Roman" w:hAnsi="Palatino Linotype" w:cs="Arial"/>
          <w:sz w:val="24"/>
          <w:szCs w:val="24"/>
          <w:lang w:val="es-ES_tradnl"/>
        </w:rPr>
        <w:t>voto</w:t>
      </w:r>
      <w:r w:rsidR="00625340" w:rsidRPr="00CB2E7B">
        <w:rPr>
          <w:rFonts w:ascii="Palatino Linotype" w:eastAsia="Times New Roman" w:hAnsi="Palatino Linotype" w:cs="Arial"/>
          <w:sz w:val="24"/>
          <w:szCs w:val="24"/>
          <w:lang w:val="es-ES_tradnl"/>
        </w:rPr>
        <w:t xml:space="preserve"> particular de la presente resolución emitida </w:t>
      </w:r>
      <w:r w:rsidR="00625340" w:rsidRPr="00CB2E7B">
        <w:rPr>
          <w:rFonts w:ascii="Palatino Linotype" w:hAnsi="Palatino Linotype" w:cs="Arial"/>
          <w:sz w:val="24"/>
          <w:szCs w:val="24"/>
        </w:rPr>
        <w:t xml:space="preserve">por el Pleno del Instituto de Transparencia, Acceso a la Información Pública y Protección de Datos Personales del Estado de México y Municipios, en su </w:t>
      </w:r>
      <w:r w:rsidR="00437C30">
        <w:rPr>
          <w:rFonts w:ascii="Palatino Linotype" w:hAnsi="Palatino Linotype" w:cs="Arial"/>
          <w:sz w:val="24"/>
          <w:szCs w:val="24"/>
        </w:rPr>
        <w:t xml:space="preserve">Vigésima </w:t>
      </w:r>
      <w:r w:rsidR="0020553F">
        <w:rPr>
          <w:rFonts w:ascii="Palatino Linotype" w:hAnsi="Palatino Linotype" w:cs="Arial"/>
          <w:sz w:val="24"/>
          <w:szCs w:val="24"/>
        </w:rPr>
        <w:t>Séptima</w:t>
      </w:r>
      <w:r w:rsidR="00437C30">
        <w:rPr>
          <w:rFonts w:ascii="Palatino Linotype" w:hAnsi="Palatino Linotype" w:cs="Arial"/>
          <w:sz w:val="24"/>
          <w:szCs w:val="24"/>
        </w:rPr>
        <w:t xml:space="preserve"> Sesión</w:t>
      </w:r>
      <w:r w:rsidR="00D42114" w:rsidRPr="00CB2E7B">
        <w:rPr>
          <w:rFonts w:ascii="Palatino Linotype" w:hAnsi="Palatino Linotype" w:cs="Arial"/>
          <w:sz w:val="24"/>
          <w:szCs w:val="24"/>
        </w:rPr>
        <w:t xml:space="preserve"> O</w:t>
      </w:r>
      <w:r w:rsidR="00F9751B" w:rsidRPr="00CB2E7B">
        <w:rPr>
          <w:rFonts w:ascii="Palatino Linotype" w:hAnsi="Palatino Linotype" w:cs="Arial"/>
          <w:sz w:val="24"/>
          <w:szCs w:val="24"/>
        </w:rPr>
        <w:t xml:space="preserve">rdinaria celebrada el </w:t>
      </w:r>
      <w:r w:rsidR="00175E9F" w:rsidRPr="00CB2E7B">
        <w:rPr>
          <w:rFonts w:ascii="Palatino Linotype" w:hAnsi="Palatino Linotype" w:cs="Arial"/>
          <w:sz w:val="24"/>
          <w:szCs w:val="24"/>
        </w:rPr>
        <w:t xml:space="preserve">día </w:t>
      </w:r>
      <w:r w:rsidR="0020553F">
        <w:rPr>
          <w:rFonts w:ascii="Palatino Linotype" w:hAnsi="Palatino Linotype" w:cs="Arial"/>
          <w:sz w:val="24"/>
          <w:szCs w:val="24"/>
        </w:rPr>
        <w:t>treinta y uno</w:t>
      </w:r>
      <w:r w:rsidR="00F9751B" w:rsidRPr="00CB2E7B">
        <w:rPr>
          <w:rFonts w:ascii="Palatino Linotype" w:hAnsi="Palatino Linotype" w:cs="Arial"/>
          <w:sz w:val="24"/>
          <w:szCs w:val="24"/>
        </w:rPr>
        <w:t xml:space="preserve"> </w:t>
      </w:r>
      <w:r w:rsidR="00787C3A" w:rsidRPr="00CB2E7B">
        <w:rPr>
          <w:rFonts w:ascii="Palatino Linotype" w:hAnsi="Palatino Linotype" w:cs="Arial"/>
          <w:sz w:val="24"/>
          <w:szCs w:val="24"/>
        </w:rPr>
        <w:t>(</w:t>
      </w:r>
      <w:r w:rsidR="0020553F">
        <w:rPr>
          <w:rFonts w:ascii="Palatino Linotype" w:hAnsi="Palatino Linotype" w:cs="Arial"/>
          <w:sz w:val="24"/>
          <w:szCs w:val="24"/>
        </w:rPr>
        <w:t>31</w:t>
      </w:r>
      <w:r w:rsidR="00787C3A" w:rsidRPr="00CB2E7B">
        <w:rPr>
          <w:rFonts w:ascii="Palatino Linotype" w:hAnsi="Palatino Linotype" w:cs="Arial"/>
          <w:sz w:val="24"/>
          <w:szCs w:val="24"/>
        </w:rPr>
        <w:t xml:space="preserve">) </w:t>
      </w:r>
      <w:r w:rsidR="00175E9F" w:rsidRPr="00CB2E7B">
        <w:rPr>
          <w:rFonts w:ascii="Palatino Linotype" w:hAnsi="Palatino Linotype" w:cs="Arial"/>
          <w:sz w:val="24"/>
          <w:szCs w:val="24"/>
        </w:rPr>
        <w:t xml:space="preserve">de </w:t>
      </w:r>
      <w:r w:rsidR="00437C30">
        <w:rPr>
          <w:rFonts w:ascii="Palatino Linotype" w:hAnsi="Palatino Linotype" w:cs="Arial"/>
          <w:sz w:val="24"/>
          <w:szCs w:val="24"/>
        </w:rPr>
        <w:t>julio</w:t>
      </w:r>
      <w:r w:rsidR="00F72F39">
        <w:rPr>
          <w:rFonts w:ascii="Palatino Linotype" w:hAnsi="Palatino Linotype" w:cs="Arial"/>
          <w:sz w:val="24"/>
          <w:szCs w:val="24"/>
        </w:rPr>
        <w:t xml:space="preserve"> </w:t>
      </w:r>
      <w:r w:rsidR="00F9751B" w:rsidRPr="00CB2E7B">
        <w:rPr>
          <w:rFonts w:ascii="Palatino Linotype" w:hAnsi="Palatino Linotype" w:cs="Arial"/>
          <w:sz w:val="24"/>
          <w:szCs w:val="24"/>
        </w:rPr>
        <w:t>de dos mil dieci</w:t>
      </w:r>
      <w:r w:rsidR="00213DF0">
        <w:rPr>
          <w:rFonts w:ascii="Palatino Linotype" w:hAnsi="Palatino Linotype" w:cs="Arial"/>
          <w:sz w:val="24"/>
          <w:szCs w:val="24"/>
        </w:rPr>
        <w:t>nueve</w:t>
      </w:r>
      <w:r w:rsidR="00625340" w:rsidRPr="00CB2E7B">
        <w:rPr>
          <w:rFonts w:ascii="Palatino Linotype" w:hAnsi="Palatino Linotype" w:cs="Arial"/>
          <w:sz w:val="24"/>
          <w:szCs w:val="24"/>
        </w:rPr>
        <w:t xml:space="preserve">, en el recurso de revisión promovido en contra de la respuesta </w:t>
      </w:r>
      <w:r w:rsidR="00B02F56" w:rsidRPr="00CB2E7B">
        <w:rPr>
          <w:rFonts w:ascii="Palatino Linotype" w:hAnsi="Palatino Linotype" w:cs="Arial"/>
          <w:sz w:val="24"/>
          <w:szCs w:val="24"/>
        </w:rPr>
        <w:t>de</w:t>
      </w:r>
      <w:r w:rsidRPr="00CB2E7B">
        <w:rPr>
          <w:rFonts w:ascii="Palatino Linotype" w:hAnsi="Palatino Linotype" w:cs="Arial"/>
          <w:sz w:val="24"/>
          <w:szCs w:val="24"/>
        </w:rPr>
        <w:t>l</w:t>
      </w:r>
      <w:r w:rsidR="00B02F56" w:rsidRPr="00CB2E7B">
        <w:rPr>
          <w:rFonts w:ascii="Palatino Linotype" w:hAnsi="Palatino Linotype" w:cs="Arial"/>
          <w:sz w:val="24"/>
          <w:szCs w:val="24"/>
        </w:rPr>
        <w:t xml:space="preserve"> </w:t>
      </w:r>
      <w:r w:rsidR="0020553F">
        <w:rPr>
          <w:rFonts w:ascii="Palatino Linotype" w:hAnsi="Palatino Linotype"/>
          <w:b/>
        </w:rPr>
        <w:t>Instituto de la Función Registral del Estado de México</w:t>
      </w:r>
      <w:r w:rsidR="00625340" w:rsidRPr="00CB2E7B">
        <w:rPr>
          <w:rFonts w:ascii="Palatino Linotype" w:hAnsi="Palatino Linotype" w:cs="Arial"/>
          <w:sz w:val="24"/>
          <w:szCs w:val="24"/>
        </w:rPr>
        <w:t xml:space="preserve">, procedimiento al que se le asignó el número de expediente </w:t>
      </w:r>
      <w:r w:rsidR="0020553F">
        <w:rPr>
          <w:rFonts w:ascii="Palatino Linotype" w:hAnsi="Palatino Linotype"/>
          <w:b/>
          <w:sz w:val="24"/>
          <w:szCs w:val="24"/>
        </w:rPr>
        <w:t>03194</w:t>
      </w:r>
      <w:r w:rsidR="00F23E47">
        <w:rPr>
          <w:rFonts w:ascii="Palatino Linotype" w:hAnsi="Palatino Linotype"/>
          <w:b/>
          <w:sz w:val="24"/>
          <w:szCs w:val="24"/>
        </w:rPr>
        <w:t>/INFOEM/IP/RR/2019</w:t>
      </w:r>
      <w:r w:rsidR="00625340" w:rsidRPr="004B096A">
        <w:rPr>
          <w:rFonts w:ascii="Palatino Linotype" w:hAnsi="Palatino Linotype" w:cs="Arial"/>
          <w:b/>
          <w:sz w:val="24"/>
          <w:szCs w:val="24"/>
        </w:rPr>
        <w:t>.</w:t>
      </w:r>
    </w:p>
    <w:p w:rsidR="00D35091" w:rsidRPr="00CB2E7B" w:rsidRDefault="00D35091" w:rsidP="00530CB3">
      <w:pPr>
        <w:pStyle w:val="Prrafodelista"/>
        <w:spacing w:after="0" w:line="360" w:lineRule="auto"/>
        <w:ind w:left="426"/>
        <w:jc w:val="both"/>
        <w:rPr>
          <w:rFonts w:ascii="Palatino Linotype" w:hAnsi="Palatino Linotype" w:cs="Arial"/>
          <w:b/>
          <w:sz w:val="24"/>
          <w:szCs w:val="24"/>
        </w:rPr>
      </w:pPr>
    </w:p>
    <w:p w:rsidR="00F23E47" w:rsidRDefault="00DA4B4E" w:rsidP="00F23E47">
      <w:pPr>
        <w:pStyle w:val="Prrafodelista"/>
        <w:numPr>
          <w:ilvl w:val="0"/>
          <w:numId w:val="1"/>
        </w:numPr>
        <w:spacing w:after="0" w:line="360" w:lineRule="auto"/>
        <w:ind w:left="426"/>
        <w:jc w:val="both"/>
        <w:rPr>
          <w:rFonts w:ascii="Palatino Linotype" w:hAnsi="Palatino Linotype" w:cs="Arial"/>
          <w:b/>
          <w:sz w:val="24"/>
          <w:szCs w:val="24"/>
        </w:rPr>
      </w:pPr>
      <w:r w:rsidRPr="009D5257">
        <w:rPr>
          <w:rFonts w:ascii="Palatino Linotype" w:hAnsi="Palatino Linotype" w:cs="Arial"/>
          <w:sz w:val="24"/>
          <w:szCs w:val="24"/>
        </w:rPr>
        <w:t xml:space="preserve">La resolución </w:t>
      </w:r>
      <w:r w:rsidR="00340665" w:rsidRPr="009D5257">
        <w:rPr>
          <w:rFonts w:ascii="Palatino Linotype" w:hAnsi="Palatino Linotype" w:cs="Arial"/>
          <w:sz w:val="24"/>
          <w:szCs w:val="24"/>
        </w:rPr>
        <w:t xml:space="preserve">puntualmente </w:t>
      </w:r>
      <w:r w:rsidRPr="009D5257">
        <w:rPr>
          <w:rFonts w:ascii="Palatino Linotype" w:hAnsi="Palatino Linotype" w:cs="Arial"/>
          <w:sz w:val="24"/>
          <w:szCs w:val="24"/>
        </w:rPr>
        <w:t xml:space="preserve">determina </w:t>
      </w:r>
      <w:r w:rsidR="00F23E47">
        <w:rPr>
          <w:rFonts w:ascii="Palatino Linotype" w:hAnsi="Palatino Linotype" w:cs="Arial"/>
          <w:sz w:val="24"/>
          <w:szCs w:val="24"/>
        </w:rPr>
        <w:t>lo siguiente:</w:t>
      </w:r>
    </w:p>
    <w:p w:rsidR="00F23E47" w:rsidRPr="00F23E47" w:rsidRDefault="00F23E47" w:rsidP="00F23E47">
      <w:pPr>
        <w:pStyle w:val="Prrafodelista"/>
        <w:rPr>
          <w:rFonts w:ascii="Palatino Linotype" w:hAnsi="Palatino Linotype" w:cs="Arial"/>
          <w:b/>
          <w:sz w:val="24"/>
          <w:szCs w:val="24"/>
        </w:rPr>
      </w:pPr>
    </w:p>
    <w:p w:rsidR="0020553F" w:rsidRPr="0020553F" w:rsidRDefault="00F23E47" w:rsidP="0020553F">
      <w:pPr>
        <w:spacing w:before="240" w:after="240" w:line="360" w:lineRule="auto"/>
        <w:ind w:left="567" w:right="616"/>
        <w:jc w:val="both"/>
        <w:rPr>
          <w:rFonts w:ascii="Palatino Linotype" w:hAnsi="Palatino Linotype" w:cs="Arial"/>
          <w:i/>
        </w:rPr>
      </w:pPr>
      <w:r w:rsidRPr="0020553F">
        <w:rPr>
          <w:rFonts w:ascii="Palatino Linotype" w:hAnsi="Palatino Linotype" w:cs="Arial"/>
          <w:b/>
          <w:i/>
        </w:rPr>
        <w:t>“</w:t>
      </w:r>
      <w:r w:rsidR="0020553F" w:rsidRPr="0020553F">
        <w:rPr>
          <w:rFonts w:ascii="Palatino Linotype" w:hAnsi="Palatino Linotype" w:cs="Arial"/>
          <w:b/>
          <w:i/>
        </w:rPr>
        <w:t xml:space="preserve">Primero. </w:t>
      </w:r>
      <w:r w:rsidR="0020553F" w:rsidRPr="0020553F">
        <w:rPr>
          <w:rFonts w:ascii="Palatino Linotype" w:hAnsi="Palatino Linotype" w:cs="Arial"/>
          <w:i/>
        </w:rPr>
        <w:t xml:space="preserve">Son parcialmente fundados los motivos de inconformidad aducidos por </w:t>
      </w:r>
      <w:r w:rsidR="0020553F" w:rsidRPr="0020553F">
        <w:rPr>
          <w:rFonts w:ascii="Palatino Linotype" w:hAnsi="Palatino Linotype" w:cs="Arial"/>
          <w:b/>
          <w:i/>
        </w:rPr>
        <w:t>el recurrente</w:t>
      </w:r>
      <w:r w:rsidR="0020553F" w:rsidRPr="0020553F">
        <w:rPr>
          <w:rFonts w:ascii="Palatino Linotype" w:hAnsi="Palatino Linotype" w:cs="Arial"/>
          <w:i/>
        </w:rPr>
        <w:t xml:space="preserve">, en términos de los argumentos de derecho señalados en el considerando Quinto, por ende se </w:t>
      </w:r>
      <w:r w:rsidR="0020553F" w:rsidRPr="0020553F">
        <w:rPr>
          <w:rFonts w:ascii="Palatino Linotype" w:hAnsi="Palatino Linotype" w:cs="Arial"/>
          <w:b/>
          <w:i/>
        </w:rPr>
        <w:t xml:space="preserve">MODIFICA </w:t>
      </w:r>
      <w:r w:rsidR="0020553F" w:rsidRPr="0020553F">
        <w:rPr>
          <w:rFonts w:ascii="Palatino Linotype" w:hAnsi="Palatino Linotype" w:cs="Arial"/>
          <w:i/>
        </w:rPr>
        <w:t xml:space="preserve">la respuesta del </w:t>
      </w:r>
      <w:r w:rsidR="0020553F" w:rsidRPr="0020553F">
        <w:rPr>
          <w:rFonts w:ascii="Palatino Linotype" w:hAnsi="Palatino Linotype" w:cs="Arial"/>
          <w:b/>
          <w:i/>
        </w:rPr>
        <w:t>Sujeto Obligado.</w:t>
      </w:r>
    </w:p>
    <w:p w:rsidR="0020553F" w:rsidRPr="0020553F" w:rsidRDefault="0020553F" w:rsidP="0020553F">
      <w:pPr>
        <w:spacing w:before="240" w:after="240" w:line="360" w:lineRule="auto"/>
        <w:ind w:left="567" w:right="616"/>
        <w:jc w:val="both"/>
        <w:rPr>
          <w:rFonts w:ascii="Palatino Linotype" w:hAnsi="Palatino Linotype"/>
          <w:i/>
        </w:rPr>
      </w:pPr>
      <w:r w:rsidRPr="0020553F">
        <w:rPr>
          <w:rFonts w:ascii="Palatino Linotype" w:hAnsi="Palatino Linotype" w:cs="Arial"/>
          <w:b/>
          <w:i/>
        </w:rPr>
        <w:t>Segundo.</w:t>
      </w:r>
      <w:r w:rsidRPr="0020553F">
        <w:rPr>
          <w:rFonts w:ascii="Palatino Linotype" w:eastAsia="Calibri" w:hAnsi="Palatino Linotype" w:cs="Arial"/>
          <w:i/>
        </w:rPr>
        <w:t xml:space="preserve"> </w:t>
      </w:r>
      <w:r w:rsidRPr="0020553F">
        <w:rPr>
          <w:rFonts w:ascii="Palatino Linotype" w:hAnsi="Palatino Linotype" w:cs="Arial"/>
          <w:i/>
        </w:rPr>
        <w:t>Se</w:t>
      </w:r>
      <w:r w:rsidRPr="0020553F">
        <w:rPr>
          <w:rFonts w:ascii="Palatino Linotype" w:hAnsi="Palatino Linotype" w:cs="Arial"/>
          <w:b/>
          <w:i/>
        </w:rPr>
        <w:t xml:space="preserve"> </w:t>
      </w:r>
      <w:r w:rsidRPr="0020553F">
        <w:rPr>
          <w:rFonts w:ascii="Palatino Linotype" w:hAnsi="Palatino Linotype"/>
          <w:b/>
          <w:i/>
        </w:rPr>
        <w:t xml:space="preserve">ORDENA </w:t>
      </w:r>
      <w:r w:rsidRPr="0020553F">
        <w:rPr>
          <w:rFonts w:ascii="Palatino Linotype" w:hAnsi="Palatino Linotype"/>
          <w:i/>
        </w:rPr>
        <w:t xml:space="preserve">al </w:t>
      </w:r>
      <w:r w:rsidRPr="0020553F">
        <w:rPr>
          <w:rFonts w:ascii="Palatino Linotype" w:hAnsi="Palatino Linotype"/>
          <w:b/>
          <w:i/>
        </w:rPr>
        <w:t>Sujeto Obligado</w:t>
      </w:r>
      <w:r w:rsidRPr="0020553F">
        <w:rPr>
          <w:rFonts w:ascii="Palatino Linotype" w:hAnsi="Palatino Linotype"/>
          <w:i/>
        </w:rPr>
        <w:t xml:space="preserve"> en términos de los Considerandos </w:t>
      </w:r>
      <w:r w:rsidRPr="0020553F">
        <w:rPr>
          <w:rFonts w:ascii="Palatino Linotype" w:hAnsi="Palatino Linotype"/>
          <w:b/>
          <w:i/>
        </w:rPr>
        <w:t>Cuarto</w:t>
      </w:r>
      <w:r w:rsidRPr="0020553F">
        <w:rPr>
          <w:rFonts w:ascii="Palatino Linotype" w:hAnsi="Palatino Linotype"/>
          <w:i/>
        </w:rPr>
        <w:t xml:space="preserve"> y </w:t>
      </w:r>
      <w:r w:rsidRPr="0020553F">
        <w:rPr>
          <w:rFonts w:ascii="Palatino Linotype" w:hAnsi="Palatino Linotype"/>
          <w:b/>
          <w:i/>
        </w:rPr>
        <w:t xml:space="preserve">Quinto, </w:t>
      </w:r>
      <w:r w:rsidRPr="0020553F">
        <w:rPr>
          <w:rFonts w:ascii="Palatino Linotype" w:hAnsi="Palatino Linotype"/>
          <w:i/>
        </w:rPr>
        <w:t xml:space="preserve">que previa búsqueda exhaustiva y razonable, </w:t>
      </w:r>
      <w:r w:rsidRPr="0020553F">
        <w:rPr>
          <w:rFonts w:ascii="Palatino Linotype" w:hAnsi="Palatino Linotype" w:cs="Arial"/>
          <w:i/>
        </w:rPr>
        <w:t>haga entrega a través de SAIMEX y en copia certificada sin costo, según corresponda, en versión pública</w:t>
      </w:r>
      <w:r w:rsidRPr="0020553F">
        <w:rPr>
          <w:rFonts w:ascii="Palatino Linotype" w:hAnsi="Palatino Linotype"/>
          <w:i/>
        </w:rPr>
        <w:t xml:space="preserve"> del soporte documental en donde conste lo siguiente:</w:t>
      </w:r>
    </w:p>
    <w:p w:rsidR="0020553F" w:rsidRPr="0020553F" w:rsidRDefault="0020553F" w:rsidP="0020553F">
      <w:pPr>
        <w:pStyle w:val="Prrafodelista"/>
        <w:numPr>
          <w:ilvl w:val="0"/>
          <w:numId w:val="12"/>
        </w:numPr>
        <w:spacing w:before="240" w:beforeAutospacing="1" w:after="240" w:afterAutospacing="1" w:line="360" w:lineRule="auto"/>
        <w:ind w:left="567" w:right="616" w:firstLine="0"/>
        <w:jc w:val="both"/>
        <w:rPr>
          <w:rFonts w:ascii="Palatino Linotype" w:eastAsia="MS Mincho" w:hAnsi="Palatino Linotype"/>
          <w:i/>
          <w:shd w:val="clear" w:color="auto" w:fill="FFFFFF"/>
          <w:lang w:val="es-ES_tradnl"/>
        </w:rPr>
      </w:pPr>
      <w:r w:rsidRPr="0020553F">
        <w:rPr>
          <w:rFonts w:ascii="Palatino Linotype" w:hAnsi="Palatino Linotype" w:cs="Arial"/>
          <w:i/>
        </w:rPr>
        <w:lastRenderedPageBreak/>
        <w:t>El Acuerdo que emita el Comité de Transparencia en el que confirme la declaratoria de incompetencia del Sujeto Obligado</w:t>
      </w:r>
      <w:r w:rsidRPr="0020553F">
        <w:rPr>
          <w:rFonts w:ascii="Palatino Linotype" w:hAnsi="Palatino Linotype" w:cs="Arial"/>
          <w:b/>
          <w:i/>
        </w:rPr>
        <w:t xml:space="preserve"> </w:t>
      </w:r>
      <w:r w:rsidRPr="0020553F">
        <w:rPr>
          <w:rFonts w:ascii="Palatino Linotype" w:hAnsi="Palatino Linotype" w:cs="Arial"/>
          <w:i/>
        </w:rPr>
        <w:t xml:space="preserve">respecto de los procedimientos de prescripción o usucapión celebrados en Ecatepec de Morelos. </w:t>
      </w:r>
    </w:p>
    <w:p w:rsidR="0020553F" w:rsidRPr="0020553F" w:rsidRDefault="0020553F" w:rsidP="0020553F">
      <w:pPr>
        <w:pStyle w:val="Prrafodelista"/>
        <w:numPr>
          <w:ilvl w:val="0"/>
          <w:numId w:val="12"/>
        </w:numPr>
        <w:spacing w:before="240" w:after="240" w:line="360" w:lineRule="auto"/>
        <w:ind w:left="567" w:right="616" w:firstLine="0"/>
        <w:jc w:val="both"/>
        <w:rPr>
          <w:rFonts w:ascii="Palatino Linotype" w:hAnsi="Palatino Linotype" w:cs="Arial"/>
          <w:i/>
        </w:rPr>
      </w:pPr>
      <w:r w:rsidRPr="0020553F">
        <w:rPr>
          <w:rFonts w:ascii="Palatino Linotype" w:hAnsi="Palatino Linotype" w:cs="Arial"/>
          <w:i/>
        </w:rPr>
        <w:t>Documentos generados por el Sujeto Obligado durante la tramitación de la inmatriculación administrativa materia del expediente número 312390/71/2018.</w:t>
      </w:r>
    </w:p>
    <w:p w:rsidR="0020553F" w:rsidRPr="0020553F" w:rsidRDefault="0020553F" w:rsidP="0020553F">
      <w:pPr>
        <w:pStyle w:val="Prrafodelista"/>
        <w:numPr>
          <w:ilvl w:val="0"/>
          <w:numId w:val="12"/>
        </w:numPr>
        <w:spacing w:before="240" w:after="240" w:line="360" w:lineRule="auto"/>
        <w:ind w:left="567" w:right="616" w:firstLine="0"/>
        <w:jc w:val="both"/>
        <w:rPr>
          <w:rFonts w:ascii="Palatino Linotype" w:hAnsi="Palatino Linotype" w:cs="Arial"/>
          <w:i/>
        </w:rPr>
      </w:pPr>
      <w:r w:rsidRPr="0020553F">
        <w:rPr>
          <w:rFonts w:ascii="Palatino Linotype" w:hAnsi="Palatino Linotype"/>
          <w:bCs/>
          <w:i/>
        </w:rPr>
        <w:t xml:space="preserve">El Acuerdo del Comité de Transparencia en términos del artículo 49 fracción VIII, 122, 143 fracciones I y II y 149 de la Ley de Transparencia y Acceso a la Información Pública del Estado de México y Municipios vigente, en el que funde y motive las razones por virtud de las cuales se justifique la clasificación como totalmente confidenciales de los documentos presentados por el particular solicitante de la inmatriculación administrativa materia del expediente número </w:t>
      </w:r>
      <w:r w:rsidRPr="0020553F">
        <w:rPr>
          <w:rFonts w:ascii="Palatino Linotype" w:hAnsi="Palatino Linotype" w:cs="Arial"/>
          <w:i/>
        </w:rPr>
        <w:t>312390/71/2018</w:t>
      </w:r>
      <w:r w:rsidRPr="0020553F">
        <w:rPr>
          <w:rFonts w:ascii="Palatino Linotype" w:hAnsi="Palatino Linotype"/>
          <w:bCs/>
          <w:i/>
        </w:rPr>
        <w:t>, en términos del considerando cuarto de la presente resolución.</w:t>
      </w:r>
    </w:p>
    <w:p w:rsidR="0020553F" w:rsidRPr="0020553F" w:rsidRDefault="0020553F" w:rsidP="0020553F">
      <w:pPr>
        <w:spacing w:before="240" w:after="240" w:line="276" w:lineRule="auto"/>
        <w:ind w:left="567" w:right="616"/>
        <w:jc w:val="both"/>
        <w:rPr>
          <w:rFonts w:ascii="Palatino Linotype" w:hAnsi="Palatino Linotype"/>
          <w:i/>
        </w:rPr>
      </w:pPr>
      <w:r w:rsidRPr="0020553F">
        <w:rPr>
          <w:rFonts w:ascii="Palatino Linotype" w:hAnsi="Palatino Linotype"/>
          <w:i/>
        </w:rPr>
        <w:t>Para lo cual el Sujeto Obligado deberá emitir el Acuerdo del Comité de Transparencia de conformidad a la Ley de Transparencia y Acceso a la Información Pública del Estado de México y Municipios vigente, en el que funden y motiven las razones sobre los datos que se supriman o eliminen de los soportes documentales objeto de las versiones públicas que se formulen y se pongan a disposición del recurrente, mismo que igualmente hará de su conocimiento.</w:t>
      </w:r>
    </w:p>
    <w:p w:rsidR="0020553F" w:rsidRPr="0020553F" w:rsidRDefault="0020553F" w:rsidP="0020553F">
      <w:pPr>
        <w:spacing w:before="240" w:after="240" w:line="276" w:lineRule="auto"/>
        <w:ind w:left="567" w:right="616"/>
        <w:jc w:val="both"/>
        <w:rPr>
          <w:rFonts w:ascii="Palatino Linotype" w:hAnsi="Palatino Linotype"/>
          <w:i/>
          <w:shd w:val="clear" w:color="auto" w:fill="FFFFFF"/>
        </w:rPr>
      </w:pPr>
      <w:r w:rsidRPr="0020553F">
        <w:rPr>
          <w:rFonts w:ascii="Palatino Linotype" w:hAnsi="Palatino Linotype" w:cs="Arial"/>
          <w:i/>
        </w:rPr>
        <w:t>Para la entrega de la información en copia certificada, el Sujeto Obligado previamente</w:t>
      </w:r>
      <w:r w:rsidRPr="0020553F">
        <w:rPr>
          <w:rFonts w:ascii="Palatino Linotype" w:hAnsi="Palatino Linotype"/>
          <w:i/>
          <w:color w:val="222222"/>
          <w:shd w:val="clear" w:color="auto" w:fill="FFFFFF"/>
        </w:rPr>
        <w:t xml:space="preserve"> deberá </w:t>
      </w:r>
      <w:r w:rsidRPr="0020553F">
        <w:rPr>
          <w:rFonts w:ascii="Palatino Linotype" w:hAnsi="Palatino Linotype"/>
          <w:i/>
          <w:shd w:val="clear" w:color="auto" w:fill="FFFFFF"/>
        </w:rPr>
        <w:t xml:space="preserve">hacer de conocimiento de la parte Recurrente, el lugar, día y horarios en los que podrá acceder a la información. </w:t>
      </w:r>
    </w:p>
    <w:p w:rsidR="0020553F" w:rsidRPr="0020553F" w:rsidRDefault="0020553F" w:rsidP="0020553F">
      <w:pPr>
        <w:spacing w:before="240" w:after="240" w:line="276" w:lineRule="auto"/>
        <w:ind w:left="567" w:right="616"/>
        <w:jc w:val="both"/>
        <w:rPr>
          <w:rFonts w:ascii="Palatino Linotype" w:hAnsi="Palatino Linotype"/>
          <w:i/>
          <w:lang w:val="es-ES_tradnl"/>
        </w:rPr>
      </w:pPr>
      <w:r w:rsidRPr="0020553F">
        <w:rPr>
          <w:rFonts w:ascii="Palatino Linotype" w:hAnsi="Palatino Linotype"/>
          <w:i/>
        </w:rPr>
        <w:t xml:space="preserve">De ser el caso, que en el presente asunto se actualice alguna causal de reserva contemplada en el artículo 140 de la Ley de Transparencia vigente, </w:t>
      </w:r>
      <w:r w:rsidRPr="0020553F">
        <w:rPr>
          <w:rFonts w:ascii="Palatino Linotype" w:hAnsi="Palatino Linotype"/>
          <w:bCs/>
          <w:i/>
        </w:rPr>
        <w:t xml:space="preserve">el Sujeto Obligado deberá emitir el acuerdo debidamente fundado y motivado, en términos de lo dispuesto por los artículos 47, 49 fracción VIII, 122, 125, 128, 129, 131, 132 fracción II, 133, 134, </w:t>
      </w:r>
      <w:r w:rsidRPr="0020553F">
        <w:rPr>
          <w:rFonts w:ascii="Palatino Linotype" w:hAnsi="Palatino Linotype"/>
          <w:bCs/>
          <w:i/>
        </w:rPr>
        <w:lastRenderedPageBreak/>
        <w:t>140 y 141 de la Ley de Transparencia y Acceso a la Información Pública del Estado de México y Municipios</w:t>
      </w:r>
      <w:r w:rsidRPr="0020553F">
        <w:rPr>
          <w:rFonts w:ascii="Palatino Linotype" w:eastAsia="Calibri" w:hAnsi="Palatino Linotype" w:cs="Arial"/>
          <w:i/>
          <w:lang w:val="es-ES_tradnl"/>
        </w:rPr>
        <w:t>.</w:t>
      </w:r>
    </w:p>
    <w:p w:rsidR="0020553F" w:rsidRPr="0020553F" w:rsidRDefault="0020553F" w:rsidP="0020553F">
      <w:pPr>
        <w:spacing w:before="240" w:after="240" w:line="360" w:lineRule="auto"/>
        <w:ind w:left="567" w:right="616"/>
        <w:jc w:val="both"/>
        <w:rPr>
          <w:rFonts w:ascii="Palatino Linotype" w:eastAsia="MS Mincho" w:hAnsi="Palatino Linotype"/>
          <w:i/>
          <w:shd w:val="clear" w:color="auto" w:fill="FFFFFF"/>
          <w:lang w:val="es-ES_tradnl"/>
        </w:rPr>
      </w:pPr>
      <w:r w:rsidRPr="0020553F">
        <w:rPr>
          <w:rFonts w:ascii="Palatino Linotype" w:hAnsi="Palatino Linotype" w:cs="Arial"/>
          <w:b/>
          <w:bCs/>
          <w:i/>
          <w:shd w:val="clear" w:color="auto" w:fill="FFFFFF"/>
        </w:rPr>
        <w:t xml:space="preserve">Tercero. </w:t>
      </w:r>
      <w:r w:rsidRPr="0020553F">
        <w:rPr>
          <w:rFonts w:ascii="Palatino Linotype" w:eastAsia="MS Mincho" w:hAnsi="Palatino Linotype" w:cs="Arial"/>
          <w:b/>
          <w:bCs/>
          <w:i/>
          <w:shd w:val="clear" w:color="auto" w:fill="FFFFFF"/>
          <w:lang w:val="es-ES_tradnl"/>
        </w:rPr>
        <w:t xml:space="preserve">Remítase </w:t>
      </w:r>
      <w:r w:rsidRPr="0020553F">
        <w:rPr>
          <w:rFonts w:ascii="Palatino Linotype" w:eastAsia="MS Mincho" w:hAnsi="Palatino Linotype"/>
          <w:i/>
          <w:shd w:val="clear" w:color="auto" w:fill="FFFFFF"/>
          <w:lang w:val="es-ES_tradnl"/>
        </w:rPr>
        <w:t>al Titular de la Unidad de Transparencia del</w:t>
      </w:r>
      <w:r w:rsidRPr="0020553F">
        <w:rPr>
          <w:rFonts w:ascii="Palatino Linotype" w:eastAsia="MS Mincho" w:hAnsi="Palatino Linotype"/>
          <w:b/>
          <w:bCs/>
          <w:i/>
          <w:shd w:val="clear" w:color="auto" w:fill="FFFFFF"/>
          <w:lang w:val="es-ES_tradnl"/>
        </w:rPr>
        <w:t xml:space="preserve"> SUJETO OBLIGADO</w:t>
      </w:r>
      <w:r w:rsidRPr="0020553F">
        <w:rPr>
          <w:rFonts w:ascii="Palatino Linotype" w:eastAsia="MS Mincho" w:hAnsi="Palatino Linotype"/>
          <w:i/>
          <w:shd w:val="clear" w:color="auto" w:fill="FFFFFF"/>
          <w:lang w:val="es-ES_tradnl"/>
        </w:rPr>
        <w:t>, la presente resolución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F23E47" w:rsidRPr="0020553F" w:rsidRDefault="0020553F" w:rsidP="0020553F">
      <w:pPr>
        <w:spacing w:before="240" w:after="240" w:line="360" w:lineRule="auto"/>
        <w:ind w:left="567" w:right="616"/>
        <w:jc w:val="both"/>
        <w:rPr>
          <w:rFonts w:ascii="Palatino Linotype" w:hAnsi="Palatino Linotype" w:cs="Arial"/>
          <w:i/>
        </w:rPr>
      </w:pPr>
      <w:r w:rsidRPr="0020553F">
        <w:rPr>
          <w:rFonts w:ascii="Palatino Linotype" w:hAnsi="Palatino Linotype" w:cs="Arial"/>
          <w:b/>
          <w:i/>
        </w:rPr>
        <w:t xml:space="preserve">Cuarto.  Hágase del Conocimiento </w:t>
      </w:r>
      <w:r w:rsidRPr="0020553F">
        <w:rPr>
          <w:rFonts w:ascii="Palatino Linotype" w:hAnsi="Palatino Linotype" w:cs="Arial"/>
          <w:i/>
        </w:rPr>
        <w:t xml:space="preserve">del </w:t>
      </w:r>
      <w:r w:rsidRPr="0020553F">
        <w:rPr>
          <w:rFonts w:ascii="Palatino Linotype" w:hAnsi="Palatino Linotype" w:cs="Arial"/>
          <w:b/>
          <w:i/>
        </w:rPr>
        <w:t>recurrente</w:t>
      </w:r>
      <w:r w:rsidRPr="0020553F">
        <w:rPr>
          <w:rFonts w:ascii="Palatino Linotype" w:hAnsi="Palatino Linotype" w:cs="Arial"/>
          <w:i/>
        </w:rPr>
        <w:t>,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r w:rsidR="00F23E47" w:rsidRPr="0020553F">
        <w:rPr>
          <w:rFonts w:ascii="Palatino Linotype" w:hAnsi="Palatino Linotype" w:cs="Arial"/>
          <w:i/>
        </w:rPr>
        <w:t xml:space="preserve">.” </w:t>
      </w:r>
    </w:p>
    <w:p w:rsidR="00F23E47" w:rsidRDefault="00F23E47" w:rsidP="00F23E47">
      <w:pPr>
        <w:pStyle w:val="Prrafodelista"/>
        <w:spacing w:after="0" w:line="360" w:lineRule="auto"/>
        <w:ind w:left="426"/>
        <w:jc w:val="both"/>
        <w:rPr>
          <w:rFonts w:ascii="Palatino Linotype" w:hAnsi="Palatino Linotype" w:cs="Arial"/>
          <w:b/>
          <w:sz w:val="24"/>
          <w:szCs w:val="24"/>
        </w:rPr>
      </w:pPr>
    </w:p>
    <w:p w:rsidR="0020553F" w:rsidRDefault="002D2293" w:rsidP="0020553F">
      <w:pPr>
        <w:pStyle w:val="Prrafodelista"/>
        <w:numPr>
          <w:ilvl w:val="0"/>
          <w:numId w:val="1"/>
        </w:numPr>
        <w:spacing w:after="0" w:line="360" w:lineRule="auto"/>
        <w:ind w:left="426"/>
        <w:jc w:val="both"/>
        <w:rPr>
          <w:rFonts w:ascii="Palatino Linotype" w:hAnsi="Palatino Linotype" w:cs="Arial"/>
          <w:sz w:val="24"/>
          <w:szCs w:val="24"/>
        </w:rPr>
      </w:pPr>
      <w:r w:rsidRPr="002D2293">
        <w:rPr>
          <w:rFonts w:ascii="Palatino Linotype" w:hAnsi="Palatino Linotype" w:cs="Arial"/>
          <w:sz w:val="24"/>
          <w:szCs w:val="24"/>
        </w:rPr>
        <w:t xml:space="preserve">Mi voto particular se deriva del hecho de que se haya estipulado en los puntos resolutivos que, de ser el caso de que la información </w:t>
      </w:r>
      <w:r w:rsidR="0020553F">
        <w:rPr>
          <w:rFonts w:ascii="Palatino Linotype" w:hAnsi="Palatino Linotype" w:cs="Arial"/>
          <w:sz w:val="24"/>
          <w:szCs w:val="24"/>
        </w:rPr>
        <w:t>actualiza alguna causal de reserva, se emita el acuerdo correspondiente.</w:t>
      </w:r>
    </w:p>
    <w:p w:rsidR="002D2293" w:rsidRPr="002D2293" w:rsidRDefault="0020553F" w:rsidP="0020553F">
      <w:pPr>
        <w:pStyle w:val="Prrafodelista"/>
        <w:spacing w:after="0" w:line="360" w:lineRule="auto"/>
        <w:ind w:left="426"/>
        <w:jc w:val="both"/>
        <w:rPr>
          <w:rFonts w:ascii="Palatino Linotype" w:hAnsi="Palatino Linotype" w:cs="Arial"/>
          <w:sz w:val="24"/>
          <w:szCs w:val="24"/>
        </w:rPr>
      </w:pPr>
      <w:r w:rsidRPr="002D2293">
        <w:rPr>
          <w:rFonts w:ascii="Palatino Linotype" w:hAnsi="Palatino Linotype" w:cs="Arial"/>
          <w:sz w:val="24"/>
          <w:szCs w:val="24"/>
        </w:rPr>
        <w:t xml:space="preserve"> </w:t>
      </w:r>
    </w:p>
    <w:p w:rsidR="00D42114" w:rsidRDefault="00625340" w:rsidP="003E4DF1">
      <w:pPr>
        <w:pStyle w:val="Prrafodelista"/>
        <w:numPr>
          <w:ilvl w:val="0"/>
          <w:numId w:val="1"/>
        </w:numPr>
        <w:spacing w:before="240" w:after="240" w:line="360" w:lineRule="auto"/>
        <w:ind w:left="426"/>
        <w:jc w:val="both"/>
        <w:rPr>
          <w:rFonts w:ascii="Palatino Linotype" w:hAnsi="Palatino Linotype" w:cs="Arial"/>
          <w:sz w:val="24"/>
          <w:szCs w:val="24"/>
        </w:rPr>
      </w:pPr>
      <w:r w:rsidRPr="00CB2E7B">
        <w:rPr>
          <w:rFonts w:ascii="Palatino Linotype" w:hAnsi="Palatino Linotype" w:cs="Arial"/>
          <w:sz w:val="24"/>
          <w:szCs w:val="24"/>
        </w:rPr>
        <w:t>Por tal motivo y e</w:t>
      </w:r>
      <w:r w:rsidR="006F18A4" w:rsidRPr="00CB2E7B">
        <w:rPr>
          <w:rFonts w:ascii="Palatino Linotype" w:hAnsi="Palatino Linotype" w:cs="Arial"/>
          <w:sz w:val="24"/>
          <w:szCs w:val="24"/>
        </w:rPr>
        <w:t>n términos de lo señalado por el</w:t>
      </w:r>
      <w:r w:rsidRPr="00CB2E7B">
        <w:rPr>
          <w:rFonts w:ascii="Palatino Linotype" w:hAnsi="Palatino Linotype" w:cs="Arial"/>
          <w:sz w:val="24"/>
          <w:szCs w:val="24"/>
        </w:rPr>
        <w:t xml:space="preserve"> artículo </w:t>
      </w:r>
      <w:r w:rsidR="006F18A4" w:rsidRPr="00CB2E7B">
        <w:rPr>
          <w:rFonts w:ascii="Palatino Linotype" w:hAnsi="Palatino Linotype" w:cs="Arial"/>
          <w:sz w:val="24"/>
          <w:szCs w:val="24"/>
        </w:rPr>
        <w:t>14</w:t>
      </w:r>
      <w:r w:rsidRPr="00CB2E7B">
        <w:rPr>
          <w:rFonts w:ascii="Palatino Linotype" w:hAnsi="Palatino Linotype" w:cs="Arial"/>
          <w:sz w:val="24"/>
          <w:szCs w:val="24"/>
        </w:rPr>
        <w:t xml:space="preserve"> fracción X</w:t>
      </w:r>
      <w:r w:rsidR="00F313D4" w:rsidRPr="00CB2E7B">
        <w:rPr>
          <w:rFonts w:ascii="Palatino Linotype" w:hAnsi="Palatino Linotype" w:cs="Arial"/>
          <w:sz w:val="24"/>
          <w:szCs w:val="24"/>
        </w:rPr>
        <w:t>I</w:t>
      </w:r>
      <w:r w:rsidRPr="00CB2E7B">
        <w:rPr>
          <w:rFonts w:ascii="Palatino Linotype" w:hAnsi="Palatino Linotype" w:cs="Arial"/>
          <w:sz w:val="24"/>
          <w:szCs w:val="24"/>
        </w:rPr>
        <w:t xml:space="preserve"> del Reglamento Interior del Instituto de Transparencia y Acceso a la Información Pública del Estado de México y Municipios formulo la presente</w:t>
      </w:r>
      <w:r w:rsidR="00703F02" w:rsidRPr="00CB2E7B">
        <w:rPr>
          <w:rFonts w:ascii="Palatino Linotype" w:hAnsi="Palatino Linotype" w:cs="Arial"/>
          <w:sz w:val="24"/>
          <w:szCs w:val="24"/>
        </w:rPr>
        <w:t xml:space="preserve"> </w:t>
      </w:r>
      <w:r w:rsidR="00C02AF0" w:rsidRPr="00CB2E7B">
        <w:rPr>
          <w:rFonts w:ascii="Palatino Linotype" w:hAnsi="Palatino Linotype" w:cs="Arial"/>
          <w:sz w:val="24"/>
          <w:szCs w:val="24"/>
        </w:rPr>
        <w:t>voto</w:t>
      </w:r>
      <w:r w:rsidRPr="00CB2E7B">
        <w:rPr>
          <w:rFonts w:ascii="Palatino Linotype" w:hAnsi="Palatino Linotype" w:cs="Arial"/>
          <w:sz w:val="24"/>
          <w:szCs w:val="24"/>
        </w:rPr>
        <w:t xml:space="preserve"> particular.</w:t>
      </w:r>
    </w:p>
    <w:p w:rsidR="002D2293" w:rsidRPr="002D2293" w:rsidRDefault="002D2293" w:rsidP="002D2293">
      <w:pPr>
        <w:pStyle w:val="Prrafodelista"/>
        <w:rPr>
          <w:rFonts w:ascii="Palatino Linotype" w:hAnsi="Palatino Linotype" w:cs="Arial"/>
          <w:sz w:val="24"/>
          <w:szCs w:val="24"/>
        </w:rPr>
      </w:pPr>
    </w:p>
    <w:p w:rsidR="002D2293" w:rsidRDefault="002D2293" w:rsidP="003E4DF1">
      <w:pPr>
        <w:pStyle w:val="Ttulo1"/>
        <w:numPr>
          <w:ilvl w:val="0"/>
          <w:numId w:val="2"/>
        </w:numPr>
      </w:pPr>
      <w:bookmarkStart w:id="2" w:name="_Toc13235977"/>
      <w:r>
        <w:lastRenderedPageBreak/>
        <w:t>De los requerimientos planteados.</w:t>
      </w:r>
      <w:bookmarkEnd w:id="2"/>
    </w:p>
    <w:p w:rsidR="00F23E47" w:rsidRDefault="002D2293" w:rsidP="003E4DF1">
      <w:pPr>
        <w:pStyle w:val="Prrafodelista"/>
        <w:numPr>
          <w:ilvl w:val="0"/>
          <w:numId w:val="1"/>
        </w:numPr>
        <w:spacing w:before="240" w:after="240" w:line="360" w:lineRule="auto"/>
        <w:ind w:left="426"/>
        <w:jc w:val="both"/>
        <w:rPr>
          <w:rFonts w:ascii="Palatino Linotype" w:hAnsi="Palatino Linotype" w:cs="Arial"/>
          <w:sz w:val="24"/>
          <w:szCs w:val="24"/>
        </w:rPr>
      </w:pPr>
      <w:r>
        <w:rPr>
          <w:rFonts w:ascii="Palatino Linotype" w:hAnsi="Palatino Linotype" w:cs="Arial"/>
          <w:sz w:val="24"/>
          <w:szCs w:val="24"/>
        </w:rPr>
        <w:t xml:space="preserve">Se solicitó al Sujeto Obligado </w:t>
      </w:r>
      <w:r w:rsidR="00F23E47">
        <w:rPr>
          <w:rFonts w:ascii="Palatino Linotype" w:hAnsi="Palatino Linotype" w:cs="Arial"/>
          <w:sz w:val="24"/>
          <w:szCs w:val="24"/>
        </w:rPr>
        <w:t>lo siguiente:</w:t>
      </w:r>
    </w:p>
    <w:p w:rsidR="0020553F" w:rsidRPr="00484BCD" w:rsidRDefault="0020553F" w:rsidP="0020553F">
      <w:pPr>
        <w:pStyle w:val="Prrafodelista"/>
        <w:numPr>
          <w:ilvl w:val="0"/>
          <w:numId w:val="14"/>
        </w:numPr>
        <w:shd w:val="clear" w:color="auto" w:fill="FFFFFF"/>
        <w:spacing w:before="240" w:after="240" w:line="360" w:lineRule="auto"/>
        <w:jc w:val="both"/>
        <w:rPr>
          <w:rFonts w:ascii="Palatino Linotype" w:hAnsi="Palatino Linotype" w:cs="Arial"/>
          <w:lang w:eastAsia="es-MX"/>
        </w:rPr>
      </w:pPr>
      <w:r>
        <w:rPr>
          <w:rFonts w:ascii="Palatino Linotype" w:hAnsi="Palatino Linotype"/>
        </w:rPr>
        <w:t>T</w:t>
      </w:r>
      <w:r w:rsidRPr="00484BCD">
        <w:rPr>
          <w:rFonts w:ascii="Palatino Linotype" w:hAnsi="Palatino Linotype"/>
        </w:rPr>
        <w:t xml:space="preserve">odos </w:t>
      </w:r>
      <w:r>
        <w:rPr>
          <w:rFonts w:ascii="Palatino Linotype" w:hAnsi="Palatino Linotype"/>
        </w:rPr>
        <w:t xml:space="preserve">documentos </w:t>
      </w:r>
      <w:r w:rsidRPr="00484BCD">
        <w:rPr>
          <w:rFonts w:ascii="Palatino Linotype" w:hAnsi="Palatino Linotype"/>
        </w:rPr>
        <w:t>que se hayan publicado</w:t>
      </w:r>
      <w:r>
        <w:rPr>
          <w:rFonts w:ascii="Palatino Linotype" w:hAnsi="Palatino Linotype"/>
        </w:rPr>
        <w:t xml:space="preserve">, sin reserva de información, </w:t>
      </w:r>
      <w:r w:rsidRPr="00484BCD">
        <w:rPr>
          <w:rFonts w:ascii="Palatino Linotype" w:hAnsi="Palatino Linotype"/>
        </w:rPr>
        <w:t>en cualquier juicio de prescripción de dominio (usucapión) en Ecatepec de Morelos del año 1900 a la fecha</w:t>
      </w:r>
      <w:r>
        <w:rPr>
          <w:rFonts w:ascii="Palatino Linotype" w:hAnsi="Palatino Linotype"/>
        </w:rPr>
        <w:t>.</w:t>
      </w:r>
    </w:p>
    <w:p w:rsidR="0020553F" w:rsidRPr="00BD7AEB" w:rsidRDefault="0020553F" w:rsidP="0020553F">
      <w:pPr>
        <w:pStyle w:val="Prrafodelista"/>
        <w:numPr>
          <w:ilvl w:val="0"/>
          <w:numId w:val="14"/>
        </w:numPr>
        <w:shd w:val="clear" w:color="auto" w:fill="FFFFFF"/>
        <w:spacing w:before="240" w:after="240" w:line="360" w:lineRule="auto"/>
        <w:jc w:val="both"/>
        <w:rPr>
          <w:rFonts w:ascii="Palatino Linotype" w:hAnsi="Palatino Linotype" w:cs="Arial"/>
          <w:lang w:eastAsia="es-MX"/>
        </w:rPr>
      </w:pPr>
      <w:r>
        <w:rPr>
          <w:rFonts w:ascii="Palatino Linotype" w:hAnsi="Palatino Linotype"/>
        </w:rPr>
        <w:t>T</w:t>
      </w:r>
      <w:r w:rsidRPr="00484BCD">
        <w:rPr>
          <w:rFonts w:ascii="Palatino Linotype" w:hAnsi="Palatino Linotype"/>
        </w:rPr>
        <w:t>odos los juicios de prescripción celebrados en Ecatepec de Morelos del año 1900 a la fecha.</w:t>
      </w:r>
    </w:p>
    <w:p w:rsidR="0020553F" w:rsidRPr="00BD7AEB" w:rsidRDefault="0020553F" w:rsidP="0020553F">
      <w:pPr>
        <w:pStyle w:val="Prrafodelista"/>
        <w:numPr>
          <w:ilvl w:val="0"/>
          <w:numId w:val="14"/>
        </w:numPr>
        <w:shd w:val="clear" w:color="auto" w:fill="FFFFFF"/>
        <w:spacing w:before="240" w:after="240" w:line="360" w:lineRule="auto"/>
        <w:jc w:val="both"/>
        <w:rPr>
          <w:rFonts w:ascii="Palatino Linotype" w:hAnsi="Palatino Linotype" w:cs="Arial"/>
          <w:lang w:eastAsia="es-MX"/>
        </w:rPr>
      </w:pPr>
      <w:r>
        <w:rPr>
          <w:rFonts w:ascii="Palatino Linotype" w:hAnsi="Palatino Linotype"/>
          <w:lang w:eastAsia="es-MX"/>
        </w:rPr>
        <w:t>E</w:t>
      </w:r>
      <w:r w:rsidRPr="00E44484">
        <w:rPr>
          <w:rFonts w:ascii="Palatino Linotype" w:hAnsi="Palatino Linotype"/>
          <w:lang w:eastAsia="es-MX"/>
        </w:rPr>
        <w:t>n formato electrónico SAIMEX</w:t>
      </w:r>
      <w:r w:rsidRPr="008B7D1D">
        <w:rPr>
          <w:rFonts w:ascii="Palatino Linotype" w:hAnsi="Palatino Linotype"/>
        </w:rPr>
        <w:t xml:space="preserve"> </w:t>
      </w:r>
      <w:r>
        <w:rPr>
          <w:rFonts w:ascii="Palatino Linotype" w:hAnsi="Palatino Linotype"/>
        </w:rPr>
        <w:t>y e</w:t>
      </w:r>
      <w:r w:rsidRPr="008B7D1D">
        <w:rPr>
          <w:rFonts w:ascii="Palatino Linotype" w:hAnsi="Palatino Linotype"/>
        </w:rPr>
        <w:t>n copia</w:t>
      </w:r>
      <w:r w:rsidRPr="00484BCD">
        <w:rPr>
          <w:rFonts w:ascii="Palatino Linotype" w:hAnsi="Palatino Linotype"/>
        </w:rPr>
        <w:t xml:space="preserve"> certificada expedida gratuitamente para la sustanciación de un juicio de amparo, el juicio 145/2015 del índice del Juzgado Segundo Civil de Primera Instancia del Distrito Judicial de Ecatepec de Morelos, Estado de México</w:t>
      </w:r>
      <w:r>
        <w:rPr>
          <w:rFonts w:ascii="Palatino Linotype" w:hAnsi="Palatino Linotype"/>
        </w:rPr>
        <w:t>.</w:t>
      </w:r>
    </w:p>
    <w:p w:rsidR="0020553F" w:rsidRPr="00BD7AEB" w:rsidRDefault="0020553F" w:rsidP="0020553F">
      <w:pPr>
        <w:pStyle w:val="Prrafodelista"/>
        <w:numPr>
          <w:ilvl w:val="0"/>
          <w:numId w:val="14"/>
        </w:numPr>
        <w:shd w:val="clear" w:color="auto" w:fill="FFFFFF"/>
        <w:spacing w:before="240" w:after="240" w:line="360" w:lineRule="auto"/>
        <w:jc w:val="both"/>
        <w:rPr>
          <w:rFonts w:ascii="Palatino Linotype" w:hAnsi="Palatino Linotype" w:cs="Arial"/>
          <w:lang w:eastAsia="es-MX"/>
        </w:rPr>
      </w:pPr>
      <w:r>
        <w:rPr>
          <w:rFonts w:ascii="Palatino Linotype" w:hAnsi="Palatino Linotype"/>
        </w:rPr>
        <w:t>E</w:t>
      </w:r>
      <w:r w:rsidRPr="00632755">
        <w:rPr>
          <w:rFonts w:ascii="Palatino Linotype" w:hAnsi="Palatino Linotype"/>
        </w:rPr>
        <w:t>xpediente formado con motivo del procedimiento administrativo de inmatriculación con número 312390/71/18 del índice del IFREM tramitado por la C. Registradora de la Propiedad y del Comercio adscrita a los municipios de Ecatepec y Coacalco, adscrita al Instituto de la Función Registral del Estado de México (IFREM)</w:t>
      </w:r>
      <w:r>
        <w:rPr>
          <w:rFonts w:ascii="Palatino Linotype" w:hAnsi="Palatino Linotype"/>
        </w:rPr>
        <w:t>.</w:t>
      </w:r>
    </w:p>
    <w:p w:rsidR="00F23E47" w:rsidRDefault="00F23E47" w:rsidP="00F23E47">
      <w:pPr>
        <w:pStyle w:val="Prrafodelista"/>
        <w:spacing w:before="240" w:after="240" w:line="360" w:lineRule="auto"/>
        <w:ind w:left="426"/>
        <w:jc w:val="both"/>
        <w:rPr>
          <w:rFonts w:ascii="Palatino Linotype" w:hAnsi="Palatino Linotype" w:cs="Arial"/>
          <w:sz w:val="24"/>
          <w:szCs w:val="24"/>
        </w:rPr>
      </w:pPr>
    </w:p>
    <w:p w:rsidR="0020553F" w:rsidRPr="0020553F" w:rsidRDefault="00F23E47" w:rsidP="0020553F">
      <w:pPr>
        <w:pStyle w:val="Prrafodelista"/>
        <w:numPr>
          <w:ilvl w:val="0"/>
          <w:numId w:val="1"/>
        </w:numPr>
        <w:spacing w:before="240" w:after="240" w:line="360" w:lineRule="auto"/>
        <w:ind w:left="426"/>
        <w:jc w:val="both"/>
        <w:rPr>
          <w:rFonts w:ascii="Palatino Linotype" w:hAnsi="Palatino Linotype" w:cs="Arial"/>
          <w:sz w:val="24"/>
          <w:szCs w:val="24"/>
        </w:rPr>
      </w:pPr>
      <w:r>
        <w:rPr>
          <w:rFonts w:ascii="Palatino Linotype" w:hAnsi="Palatino Linotype" w:cs="Arial"/>
          <w:sz w:val="24"/>
          <w:szCs w:val="24"/>
        </w:rPr>
        <w:t xml:space="preserve">El Sujeto Obligado </w:t>
      </w:r>
      <w:r w:rsidR="0020553F">
        <w:rPr>
          <w:rFonts w:ascii="Palatino Linotype" w:hAnsi="Palatino Linotype" w:cs="Arial"/>
          <w:sz w:val="24"/>
          <w:szCs w:val="24"/>
        </w:rPr>
        <w:t>e</w:t>
      </w:r>
      <w:r w:rsidR="0020553F" w:rsidRPr="0020553F">
        <w:rPr>
          <w:rFonts w:ascii="Palatino Linotype" w:hAnsi="Palatino Linotype" w:cs="Arial"/>
          <w:lang w:eastAsia="es-MX"/>
        </w:rPr>
        <w:t xml:space="preserve">n respuesta, a través de la Titular de la Unidad de Transparencia, informó a la parte solicitante que a efecto de obtener la información requerida debía acudir a la oficina registral de Ecatepec, apegándose a lo establecido en el artículo 24 del Reglamento de la Ley Registral para el Estado de México, en virtud de que el Instituto </w:t>
      </w:r>
      <w:r w:rsidR="0020553F" w:rsidRPr="0020553F">
        <w:rPr>
          <w:rFonts w:ascii="Palatino Linotype" w:hAnsi="Palatino Linotype"/>
          <w:color w:val="000000"/>
        </w:rPr>
        <w:t xml:space="preserve">únicamente daba publicidad a las sentencias que son presentadas para tal efecto, por lo que en aras de coadyuvar con el principio de máxima publicidad se sugirió acudir a realizar la consulta referida, indicando que podía realizar la búsqueda de su </w:t>
      </w:r>
      <w:r w:rsidR="0020553F" w:rsidRPr="0020553F">
        <w:rPr>
          <w:rFonts w:ascii="Palatino Linotype" w:hAnsi="Palatino Linotype"/>
          <w:color w:val="000000"/>
        </w:rPr>
        <w:lastRenderedPageBreak/>
        <w:t>interés en el área de consulta electrónica de la oficina registral señalada, a partir de las siguientes opciones: a) Nombre del titular registral o posible propietario b) Antecedentes registrales c) Dirección del inmueble d) Folio Real Electrónico. Asimismo, informó que la búsqueda indicada no tenía costo alguno, sin embargo, de la misma no se desprende ningún documento que soporte información, motivo por el cual, en caso de requerir el soporte documental de la información, se sugirió solicitar el trámite que mejor se adecuara a sus necesidades, el cual sin excepción alguna deberá sujetarse a las disposiciones legales que rigen el funcionamiento del Organismo, y, para conocer más detalles del trámite en cuestión se proporcionó la dirección electrónica http://edomex.gob.mx/tramites_servicios?tipo=2&amp;&amp;cve=151, en la que se localiza el catálogo de trámites y servicios que ofrece el Instituto.</w:t>
      </w:r>
    </w:p>
    <w:p w:rsidR="0020553F" w:rsidRDefault="0020553F" w:rsidP="0020553F">
      <w:pPr>
        <w:pStyle w:val="Prrafodelista"/>
        <w:spacing w:before="240" w:after="240" w:line="360" w:lineRule="auto"/>
        <w:ind w:left="426"/>
        <w:jc w:val="both"/>
        <w:rPr>
          <w:rFonts w:ascii="Palatino Linotype" w:hAnsi="Palatino Linotype" w:cs="Arial"/>
          <w:sz w:val="24"/>
          <w:szCs w:val="24"/>
        </w:rPr>
      </w:pPr>
    </w:p>
    <w:p w:rsidR="0020553F" w:rsidRPr="0020553F" w:rsidRDefault="0020553F" w:rsidP="0020553F">
      <w:pPr>
        <w:pStyle w:val="Prrafodelista"/>
        <w:numPr>
          <w:ilvl w:val="0"/>
          <w:numId w:val="1"/>
        </w:numPr>
        <w:spacing w:before="240" w:after="240" w:line="360" w:lineRule="auto"/>
        <w:ind w:left="426"/>
        <w:jc w:val="both"/>
        <w:rPr>
          <w:rFonts w:ascii="Palatino Linotype" w:hAnsi="Palatino Linotype" w:cs="Arial"/>
          <w:sz w:val="24"/>
          <w:szCs w:val="24"/>
        </w:rPr>
      </w:pPr>
      <w:r w:rsidRPr="0020553F">
        <w:rPr>
          <w:rFonts w:ascii="Palatino Linotype" w:hAnsi="Palatino Linotype" w:cs="Segoe UI"/>
        </w:rPr>
        <w:t xml:space="preserve">No conforme con la respuesta, la parte solicitante </w:t>
      </w:r>
      <w:r w:rsidRPr="0020553F">
        <w:rPr>
          <w:rFonts w:ascii="Palatino Linotype" w:hAnsi="Palatino Linotype" w:cs="Arial"/>
        </w:rPr>
        <w:t>interpuso el recurso de revisión que nos ocupa, señalando como razones o motivos de inconformidad, en su parte conducente que el sujeto obligado pretendía obtener emolumentos por la información, al requerirle dinero, refiriendo que los sujetos obligados deben entregar la información en formato electrónico salvo impedimento justificado, situación que no ocurre en el caso concreto, y además, que se le niegan la información al manifestar que “tampoco puede desprenderse ningún documento que soporte la información de su interés</w:t>
      </w:r>
      <w:r>
        <w:rPr>
          <w:rFonts w:ascii="Palatino Linotype" w:hAnsi="Palatino Linotype" w:cs="Arial"/>
        </w:rPr>
        <w:t>”.</w:t>
      </w:r>
    </w:p>
    <w:p w:rsidR="00D35091" w:rsidRDefault="00CC7D48" w:rsidP="003E4DF1">
      <w:pPr>
        <w:pStyle w:val="Ttulo1"/>
        <w:numPr>
          <w:ilvl w:val="0"/>
          <w:numId w:val="2"/>
        </w:numPr>
        <w:ind w:left="1134" w:hanging="708"/>
        <w:rPr>
          <w:rFonts w:cs="Arial"/>
          <w:szCs w:val="24"/>
        </w:rPr>
      </w:pPr>
      <w:bookmarkStart w:id="3" w:name="_Toc13235978"/>
      <w:r>
        <w:rPr>
          <w:szCs w:val="24"/>
        </w:rPr>
        <w:t>De la clasificación de la información.</w:t>
      </w:r>
      <w:bookmarkEnd w:id="3"/>
    </w:p>
    <w:p w:rsidR="0080047C" w:rsidRPr="0080047C" w:rsidRDefault="0080047C" w:rsidP="0080047C"/>
    <w:p w:rsidR="00824147" w:rsidRPr="00F23E47" w:rsidRDefault="00824147" w:rsidP="00F23E47">
      <w:pPr>
        <w:pStyle w:val="Prrafodelista"/>
        <w:numPr>
          <w:ilvl w:val="0"/>
          <w:numId w:val="1"/>
        </w:numPr>
        <w:spacing w:before="240" w:after="240" w:line="360" w:lineRule="auto"/>
        <w:ind w:left="426"/>
        <w:jc w:val="both"/>
        <w:rPr>
          <w:rFonts w:ascii="Palatino Linotype" w:hAnsi="Palatino Linotype" w:cs="Arial"/>
          <w:sz w:val="24"/>
          <w:szCs w:val="24"/>
        </w:rPr>
      </w:pPr>
      <w:r>
        <w:rPr>
          <w:rFonts w:ascii="Palatino Linotype" w:hAnsi="Palatino Linotype" w:cs="Arial"/>
          <w:sz w:val="24"/>
          <w:szCs w:val="24"/>
        </w:rPr>
        <w:t xml:space="preserve">El Comisionado Ponente en el análisis y estudio del asunto puntualiza que para el caso de que los </w:t>
      </w:r>
      <w:r w:rsidR="00F23E47">
        <w:rPr>
          <w:rFonts w:ascii="Palatino Linotype" w:hAnsi="Palatino Linotype" w:cs="Arial"/>
          <w:sz w:val="24"/>
          <w:szCs w:val="24"/>
        </w:rPr>
        <w:t xml:space="preserve">procedimientos no hayan quedado firmes o hayan causado </w:t>
      </w:r>
      <w:r w:rsidR="00F23E47">
        <w:rPr>
          <w:rFonts w:ascii="Palatino Linotype" w:hAnsi="Palatino Linotype" w:cs="Arial"/>
          <w:sz w:val="24"/>
          <w:szCs w:val="24"/>
        </w:rPr>
        <w:lastRenderedPageBreak/>
        <w:t xml:space="preserve">estado, se proceda a su clasificación como información reservada. </w:t>
      </w:r>
      <w:r w:rsidRPr="00F23E47">
        <w:rPr>
          <w:rFonts w:ascii="Palatino Linotype" w:hAnsi="Palatino Linotype" w:cs="Arial"/>
          <w:sz w:val="24"/>
          <w:szCs w:val="24"/>
        </w:rPr>
        <w:t>Situación que no comparto del todo, en razón de que prever la supuesta clasificación es obligación de las autoridades,</w:t>
      </w:r>
      <w:r w:rsidR="00674F8B" w:rsidRPr="00F23E47">
        <w:rPr>
          <w:rFonts w:ascii="Palatino Linotype" w:hAnsi="Palatino Linotype" w:cs="Arial"/>
          <w:sz w:val="24"/>
          <w:szCs w:val="24"/>
        </w:rPr>
        <w:t xml:space="preserve"> más no de este Órgano Garante.</w:t>
      </w:r>
    </w:p>
    <w:p w:rsidR="00824147" w:rsidRPr="00824147" w:rsidRDefault="00824147" w:rsidP="00824147">
      <w:pPr>
        <w:pStyle w:val="Prrafodelista"/>
        <w:rPr>
          <w:rFonts w:ascii="Palatino Linotype" w:hAnsi="Palatino Linotype" w:cs="Arial"/>
          <w:sz w:val="24"/>
          <w:szCs w:val="24"/>
        </w:rPr>
      </w:pPr>
    </w:p>
    <w:p w:rsidR="00824147" w:rsidRDefault="00824147" w:rsidP="003E4DF1">
      <w:pPr>
        <w:pStyle w:val="Prrafodelista"/>
        <w:numPr>
          <w:ilvl w:val="0"/>
          <w:numId w:val="1"/>
        </w:numPr>
        <w:spacing w:before="240" w:after="240" w:line="360" w:lineRule="auto"/>
        <w:ind w:left="426"/>
        <w:jc w:val="both"/>
        <w:rPr>
          <w:rFonts w:ascii="Palatino Linotype" w:hAnsi="Palatino Linotype" w:cs="Arial"/>
          <w:sz w:val="24"/>
          <w:szCs w:val="24"/>
        </w:rPr>
      </w:pPr>
      <w:r>
        <w:rPr>
          <w:rFonts w:ascii="Palatino Linotype" w:hAnsi="Palatino Linotype" w:cs="Arial"/>
          <w:sz w:val="24"/>
          <w:szCs w:val="24"/>
        </w:rPr>
        <w:t xml:space="preserve">Considero que la postura adoptada por el Comisionado Ponente va encaminada a suplir deficiencias atribuibles al Sujeto Obligado </w:t>
      </w:r>
      <w:r w:rsidR="000F5099">
        <w:rPr>
          <w:rFonts w:ascii="Palatino Linotype" w:hAnsi="Palatino Linotype" w:cs="Arial"/>
          <w:sz w:val="24"/>
          <w:szCs w:val="24"/>
        </w:rPr>
        <w:t>aún y cuando éste no cumplió con lo que establece la Ley de Transparencia y Acceso a la Información Pública del Estado de México y Municipios.</w:t>
      </w:r>
    </w:p>
    <w:p w:rsidR="000161B6" w:rsidRPr="000161B6" w:rsidRDefault="000161B6" w:rsidP="000161B6">
      <w:pPr>
        <w:pStyle w:val="Prrafodelista"/>
        <w:rPr>
          <w:rFonts w:ascii="Palatino Linotype" w:hAnsi="Palatino Linotype" w:cs="Arial"/>
          <w:sz w:val="24"/>
          <w:szCs w:val="24"/>
        </w:rPr>
      </w:pPr>
    </w:p>
    <w:p w:rsidR="000161B6" w:rsidRDefault="000161B6" w:rsidP="003E4DF1">
      <w:pPr>
        <w:pStyle w:val="Prrafodelista"/>
        <w:numPr>
          <w:ilvl w:val="0"/>
          <w:numId w:val="1"/>
        </w:numPr>
        <w:spacing w:before="240" w:after="240" w:line="360" w:lineRule="auto"/>
        <w:ind w:left="426"/>
        <w:jc w:val="both"/>
        <w:rPr>
          <w:rFonts w:ascii="Palatino Linotype" w:hAnsi="Palatino Linotype" w:cs="Arial"/>
          <w:sz w:val="24"/>
          <w:szCs w:val="24"/>
        </w:rPr>
      </w:pPr>
      <w:r>
        <w:rPr>
          <w:rFonts w:ascii="Palatino Linotype" w:hAnsi="Palatino Linotype" w:cs="Arial"/>
          <w:sz w:val="24"/>
          <w:szCs w:val="24"/>
        </w:rPr>
        <w:t>Considero firmemente que podría realizarse una acción como la que tomó el Comisionado Ponente, siempre y cuando exista un indicio de que la información puede actualizar una causal de reserva y esto sucede cuando en respuesta o informe justificado lo manifiestan los Sujetos Obligado</w:t>
      </w:r>
      <w:r w:rsidR="00CC7D48">
        <w:rPr>
          <w:rFonts w:ascii="Palatino Linotype" w:hAnsi="Palatino Linotype" w:cs="Arial"/>
          <w:sz w:val="24"/>
          <w:szCs w:val="24"/>
        </w:rPr>
        <w:t>s</w:t>
      </w:r>
      <w:r>
        <w:rPr>
          <w:rFonts w:ascii="Palatino Linotype" w:hAnsi="Palatino Linotype" w:cs="Arial"/>
          <w:sz w:val="24"/>
          <w:szCs w:val="24"/>
        </w:rPr>
        <w:t>, sin embargo, en el presente asunto en particular, no se tiene ni un solo elemento que permite tan solo “presumir” la existencia de información que actualice una causal de reserva. Es por ello que no comparto este apartado de la resolución, y para prueba de ello es necesario resaltar lo siguiente:</w:t>
      </w:r>
    </w:p>
    <w:p w:rsidR="00824147" w:rsidRPr="00824147" w:rsidRDefault="00824147" w:rsidP="00824147">
      <w:pPr>
        <w:pStyle w:val="Prrafodelista"/>
        <w:rPr>
          <w:rFonts w:ascii="Palatino Linotype" w:hAnsi="Palatino Linotype" w:cs="Arial"/>
          <w:sz w:val="24"/>
          <w:szCs w:val="24"/>
        </w:rPr>
      </w:pPr>
    </w:p>
    <w:p w:rsidR="000161B6" w:rsidRPr="000161B6" w:rsidRDefault="000161B6" w:rsidP="003E4DF1">
      <w:pPr>
        <w:pStyle w:val="Prrafodelista"/>
        <w:numPr>
          <w:ilvl w:val="0"/>
          <w:numId w:val="1"/>
        </w:numPr>
        <w:spacing w:line="360" w:lineRule="auto"/>
        <w:ind w:left="426"/>
        <w:jc w:val="both"/>
        <w:rPr>
          <w:rFonts w:ascii="Palatino Linotype" w:hAnsi="Palatino Linotype"/>
          <w:sz w:val="24"/>
          <w:szCs w:val="24"/>
        </w:rPr>
      </w:pPr>
      <w:r w:rsidRPr="000161B6">
        <w:rPr>
          <w:rFonts w:ascii="Palatino Linotype" w:hAnsi="Palatino Linotype"/>
          <w:sz w:val="24"/>
          <w:szCs w:val="24"/>
        </w:rPr>
        <w:t xml:space="preserve">Mi voto particular se deriva de un hecho de especial importancia: la clasificación total o parcial de la información requerida, mediante solicitud de acceso a la información pública, constituye una restricción al derecho humano de acceso a la información. Como reiteradamente han dicho, diversos órganos </w:t>
      </w:r>
      <w:r w:rsidRPr="000161B6">
        <w:rPr>
          <w:rFonts w:ascii="Palatino Linotype" w:hAnsi="Palatino Linotype"/>
          <w:sz w:val="24"/>
          <w:szCs w:val="24"/>
        </w:rPr>
        <w:lastRenderedPageBreak/>
        <w:t>jurisdiccionales, ningún derecho es absoluto</w:t>
      </w:r>
      <w:r w:rsidRPr="002021B7">
        <w:rPr>
          <w:rStyle w:val="Refdenotaalpie"/>
          <w:rFonts w:ascii="Palatino Linotype" w:hAnsi="Palatino Linotype"/>
          <w:sz w:val="24"/>
          <w:szCs w:val="24"/>
        </w:rPr>
        <w:footnoteReference w:id="1"/>
      </w:r>
      <w:r w:rsidRPr="000161B6">
        <w:rPr>
          <w:rFonts w:ascii="Palatino Linotype" w:hAnsi="Palatino Linotype"/>
          <w:sz w:val="24"/>
          <w:szCs w:val="24"/>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2021B7">
        <w:rPr>
          <w:rStyle w:val="Refdenotaalpie"/>
          <w:rFonts w:ascii="Palatino Linotype" w:hAnsi="Palatino Linotype"/>
          <w:sz w:val="24"/>
          <w:szCs w:val="24"/>
        </w:rPr>
        <w:footnoteReference w:id="2"/>
      </w:r>
      <w:r w:rsidRPr="000161B6">
        <w:rPr>
          <w:rFonts w:ascii="Palatino Linotype" w:hAnsi="Palatino Linotype"/>
          <w:sz w:val="24"/>
          <w:szCs w:val="24"/>
        </w:rPr>
        <w:t xml:space="preserve"> En este caso, la clasificación total o parcial de </w:t>
      </w:r>
      <w:r w:rsidRPr="000161B6">
        <w:rPr>
          <w:rFonts w:ascii="Palatino Linotype" w:hAnsi="Palatino Linotype"/>
          <w:sz w:val="24"/>
          <w:szCs w:val="24"/>
        </w:rPr>
        <w:lastRenderedPageBreak/>
        <w:t>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0161B6" w:rsidRPr="002021B7" w:rsidRDefault="000161B6" w:rsidP="000161B6">
      <w:pPr>
        <w:pStyle w:val="Prrafodelista"/>
        <w:spacing w:line="360" w:lineRule="auto"/>
        <w:ind w:left="360"/>
        <w:jc w:val="both"/>
        <w:rPr>
          <w:rFonts w:ascii="Palatino Linotype" w:hAnsi="Palatino Linotype"/>
          <w:sz w:val="24"/>
          <w:szCs w:val="24"/>
        </w:rPr>
      </w:pPr>
      <w:r w:rsidRPr="002021B7">
        <w:rPr>
          <w:rFonts w:ascii="Palatino Linotype" w:hAnsi="Palatino Linotype"/>
          <w:sz w:val="24"/>
          <w:szCs w:val="24"/>
        </w:rPr>
        <w:t xml:space="preserve"> </w:t>
      </w:r>
    </w:p>
    <w:p w:rsidR="000161B6" w:rsidRPr="002021B7" w:rsidRDefault="000161B6" w:rsidP="003E4DF1">
      <w:pPr>
        <w:pStyle w:val="Prrafodelista"/>
        <w:numPr>
          <w:ilvl w:val="0"/>
          <w:numId w:val="1"/>
        </w:numPr>
        <w:spacing w:line="360" w:lineRule="auto"/>
        <w:ind w:left="426"/>
        <w:jc w:val="both"/>
        <w:rPr>
          <w:rFonts w:ascii="Palatino Linotype" w:hAnsi="Palatino Linotype"/>
          <w:sz w:val="24"/>
          <w:szCs w:val="24"/>
        </w:rPr>
      </w:pPr>
      <w:r w:rsidRPr="002021B7">
        <w:rPr>
          <w:rFonts w:ascii="Palatino Linotype" w:hAnsi="Palatino Linotype"/>
          <w:sz w:val="24"/>
          <w:szCs w:val="24"/>
        </w:rPr>
        <w:t>El grave problema que enfrentamos todos los días, al resolver los recursos de revisión que se presenten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0161B6" w:rsidRPr="002021B7" w:rsidRDefault="000161B6" w:rsidP="000161B6">
      <w:pPr>
        <w:pStyle w:val="Prrafodelista"/>
        <w:spacing w:line="360" w:lineRule="auto"/>
        <w:ind w:left="360"/>
        <w:jc w:val="both"/>
        <w:rPr>
          <w:rFonts w:ascii="Palatino Linotype" w:hAnsi="Palatino Linotype"/>
          <w:sz w:val="24"/>
          <w:szCs w:val="24"/>
        </w:rPr>
      </w:pPr>
    </w:p>
    <w:p w:rsidR="000161B6" w:rsidRDefault="000161B6" w:rsidP="003E4DF1">
      <w:pPr>
        <w:pStyle w:val="Prrafodelista"/>
        <w:numPr>
          <w:ilvl w:val="0"/>
          <w:numId w:val="1"/>
        </w:numPr>
        <w:spacing w:line="360" w:lineRule="auto"/>
        <w:ind w:left="426"/>
        <w:jc w:val="both"/>
        <w:rPr>
          <w:rFonts w:ascii="Palatino Linotype" w:hAnsi="Palatino Linotype"/>
          <w:sz w:val="24"/>
          <w:szCs w:val="24"/>
        </w:rPr>
      </w:pPr>
      <w:r w:rsidRPr="002021B7">
        <w:rPr>
          <w:rFonts w:ascii="Palatino Linotype" w:hAnsi="Palatino Linotype"/>
          <w:sz w:val="24"/>
          <w:szCs w:val="24"/>
        </w:rPr>
        <w:t>Por esa razón, es que en esta ocasión concurro con el presente voto, con la finalidad de presentar una valida clasificación de la información que debe considerar el sujeto obligado para emitir este tipo de acuerdos y que el Órgano Garante debe verificar que se cumplan.</w:t>
      </w:r>
    </w:p>
    <w:p w:rsidR="000161B6" w:rsidRPr="00CC7D48" w:rsidRDefault="000161B6" w:rsidP="003E4DF1">
      <w:pPr>
        <w:pStyle w:val="Ttulo2"/>
        <w:numPr>
          <w:ilvl w:val="0"/>
          <w:numId w:val="3"/>
        </w:numPr>
        <w:rPr>
          <w:rFonts w:ascii="Palatino Linotype" w:hAnsi="Palatino Linotype"/>
          <w:b/>
          <w:color w:val="auto"/>
          <w:sz w:val="24"/>
        </w:rPr>
      </w:pPr>
      <w:bookmarkStart w:id="4" w:name="_Toc13235979"/>
      <w:r w:rsidRPr="00CC7D48">
        <w:rPr>
          <w:rFonts w:ascii="Palatino Linotype" w:hAnsi="Palatino Linotype"/>
          <w:b/>
          <w:color w:val="auto"/>
          <w:sz w:val="24"/>
        </w:rPr>
        <w:lastRenderedPageBreak/>
        <w:t>Supuestos de clasificación</w:t>
      </w:r>
      <w:bookmarkEnd w:id="4"/>
    </w:p>
    <w:p w:rsidR="000161B6" w:rsidRDefault="000161B6" w:rsidP="000161B6">
      <w:pPr>
        <w:pStyle w:val="Prrafodelista"/>
        <w:spacing w:line="360" w:lineRule="auto"/>
        <w:ind w:left="567"/>
        <w:jc w:val="both"/>
        <w:rPr>
          <w:rFonts w:ascii="Palatino Linotype" w:hAnsi="Palatino Linotype"/>
          <w:b/>
          <w:sz w:val="24"/>
        </w:rPr>
      </w:pPr>
    </w:p>
    <w:p w:rsidR="000161B6" w:rsidRPr="002021B7" w:rsidRDefault="000161B6" w:rsidP="003E4DF1">
      <w:pPr>
        <w:pStyle w:val="Prrafodelista"/>
        <w:numPr>
          <w:ilvl w:val="0"/>
          <w:numId w:val="1"/>
        </w:numPr>
        <w:spacing w:line="360" w:lineRule="auto"/>
        <w:ind w:left="426"/>
        <w:jc w:val="both"/>
        <w:rPr>
          <w:rFonts w:ascii="Palatino Linotype" w:hAnsi="Palatino Linotype" w:cs="Arial"/>
          <w:color w:val="000000" w:themeColor="text1"/>
          <w:sz w:val="24"/>
          <w:szCs w:val="24"/>
        </w:rPr>
      </w:pPr>
      <w:r w:rsidRPr="002021B7">
        <w:rPr>
          <w:rFonts w:ascii="Palatino Linotype" w:hAnsi="Palatino Linotype" w:cs="Arial"/>
          <w:color w:val="000000" w:themeColor="text1"/>
          <w:sz w:val="24"/>
          <w:szCs w:val="24"/>
        </w:rPr>
        <w:t>Las disposiciones constitucionales y legales en la materia establecen los dos supuestos generales para clasificar la información: por reserva y por confidencialidad.</w:t>
      </w:r>
    </w:p>
    <w:p w:rsidR="000161B6" w:rsidRPr="002021B7" w:rsidRDefault="000161B6" w:rsidP="000161B6">
      <w:pPr>
        <w:pStyle w:val="Prrafodelista"/>
        <w:spacing w:line="360" w:lineRule="auto"/>
        <w:ind w:left="426"/>
        <w:jc w:val="both"/>
        <w:rPr>
          <w:rFonts w:ascii="Palatino Linotype" w:hAnsi="Palatino Linotype" w:cs="Arial"/>
          <w:color w:val="000000" w:themeColor="text1"/>
          <w:sz w:val="24"/>
          <w:szCs w:val="24"/>
        </w:rPr>
      </w:pPr>
    </w:p>
    <w:p w:rsidR="000161B6" w:rsidRPr="002021B7" w:rsidRDefault="000161B6" w:rsidP="003E4DF1">
      <w:pPr>
        <w:pStyle w:val="Prrafodelista"/>
        <w:numPr>
          <w:ilvl w:val="0"/>
          <w:numId w:val="1"/>
        </w:numPr>
        <w:spacing w:line="360" w:lineRule="auto"/>
        <w:ind w:left="426"/>
        <w:jc w:val="both"/>
        <w:rPr>
          <w:rFonts w:ascii="Palatino Linotype" w:hAnsi="Palatino Linotype" w:cs="Arial"/>
          <w:color w:val="000000" w:themeColor="text1"/>
          <w:sz w:val="24"/>
          <w:szCs w:val="24"/>
        </w:rPr>
      </w:pPr>
      <w:r w:rsidRPr="002021B7">
        <w:rPr>
          <w:rFonts w:ascii="Palatino Linotype" w:hAnsi="Palatino Linotype" w:cs="Arial"/>
          <w:color w:val="000000" w:themeColor="text1"/>
          <w:sz w:val="24"/>
          <w:szCs w:val="24"/>
        </w:rPr>
        <w:t>Los artículos 140 y 113 de la Ley Estatal y de la Ley General, respectivamente, señalan los supuestos para que una información pueda considerarse como reservada, que son los siguientes:</w:t>
      </w:r>
    </w:p>
    <w:tbl>
      <w:tblPr>
        <w:tblStyle w:val="Tablanormal1"/>
        <w:tblW w:w="0" w:type="auto"/>
        <w:tblInd w:w="688" w:type="dxa"/>
        <w:tblLook w:val="04A0" w:firstRow="1" w:lastRow="0" w:firstColumn="1" w:lastColumn="0" w:noHBand="0" w:noVBand="1"/>
      </w:tblPr>
      <w:tblGrid>
        <w:gridCol w:w="3726"/>
        <w:gridCol w:w="4089"/>
      </w:tblGrid>
      <w:tr w:rsidR="000161B6" w:rsidRPr="002021B7" w:rsidTr="000A48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rsidR="000161B6" w:rsidRPr="002021B7" w:rsidRDefault="000161B6" w:rsidP="000A4818">
            <w:pPr>
              <w:autoSpaceDE w:val="0"/>
              <w:autoSpaceDN w:val="0"/>
              <w:adjustRightInd w:val="0"/>
              <w:spacing w:line="360" w:lineRule="auto"/>
              <w:jc w:val="both"/>
              <w:rPr>
                <w:rFonts w:ascii="Palatino Linotype" w:hAnsi="Palatino Linotype"/>
                <w:b w:val="0"/>
                <w:sz w:val="24"/>
                <w:szCs w:val="24"/>
              </w:rPr>
            </w:pPr>
            <w:r w:rsidRPr="002021B7">
              <w:rPr>
                <w:rFonts w:ascii="Palatino Linotype" w:hAnsi="Palatino Linotype" w:cs="Gill Sans,Bold"/>
                <w:b w:val="0"/>
                <w:sz w:val="24"/>
                <w:szCs w:val="24"/>
              </w:rPr>
              <w:t>LEY ESTATAL</w:t>
            </w:r>
          </w:p>
        </w:tc>
        <w:tc>
          <w:tcPr>
            <w:tcW w:w="4089" w:type="dxa"/>
          </w:tcPr>
          <w:p w:rsidR="000161B6" w:rsidRPr="002021B7" w:rsidRDefault="000161B6" w:rsidP="000A4818">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b w:val="0"/>
                <w:sz w:val="24"/>
                <w:szCs w:val="24"/>
              </w:rPr>
            </w:pPr>
            <w:r w:rsidRPr="002021B7">
              <w:rPr>
                <w:rFonts w:ascii="Palatino Linotype" w:hAnsi="Palatino Linotype"/>
                <w:b w:val="0"/>
                <w:sz w:val="24"/>
                <w:szCs w:val="24"/>
              </w:rPr>
              <w:t>LEY GENERAL</w:t>
            </w:r>
          </w:p>
        </w:tc>
      </w:tr>
      <w:tr w:rsidR="000161B6" w:rsidRPr="002021B7" w:rsidTr="000A48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rsidR="000161B6" w:rsidRPr="002021B7" w:rsidRDefault="000161B6" w:rsidP="000A4818">
            <w:pPr>
              <w:autoSpaceDE w:val="0"/>
              <w:autoSpaceDN w:val="0"/>
              <w:adjustRightInd w:val="0"/>
              <w:spacing w:line="360" w:lineRule="auto"/>
              <w:jc w:val="both"/>
              <w:rPr>
                <w:rFonts w:ascii="Palatino Linotype" w:hAnsi="Palatino Linotype" w:cs="Arial"/>
                <w:b w:val="0"/>
                <w:sz w:val="24"/>
                <w:szCs w:val="24"/>
              </w:rPr>
            </w:pPr>
            <w:r w:rsidRPr="002021B7">
              <w:rPr>
                <w:rFonts w:ascii="Palatino Linotype" w:hAnsi="Palatino Linotype" w:cs="Arial"/>
                <w:b w:val="0"/>
                <w:sz w:val="24"/>
                <w:szCs w:val="24"/>
              </w:rPr>
              <w:t>I. Comprometa la seguridad pública y cuente con un propósito genuino y un efecto demostrable;</w:t>
            </w:r>
          </w:p>
          <w:p w:rsidR="000161B6" w:rsidRPr="002021B7" w:rsidRDefault="000161B6" w:rsidP="000A4818">
            <w:pPr>
              <w:spacing w:line="360" w:lineRule="auto"/>
              <w:jc w:val="both"/>
              <w:rPr>
                <w:rFonts w:ascii="Palatino Linotype" w:hAnsi="Palatino Linotype"/>
                <w:b w:val="0"/>
                <w:sz w:val="24"/>
                <w:szCs w:val="24"/>
              </w:rPr>
            </w:pPr>
          </w:p>
        </w:tc>
        <w:tc>
          <w:tcPr>
            <w:tcW w:w="4089" w:type="dxa"/>
          </w:tcPr>
          <w:p w:rsidR="000161B6" w:rsidRPr="002021B7" w:rsidRDefault="000161B6" w:rsidP="000A481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lang w:val="es-ES"/>
              </w:rPr>
            </w:pPr>
            <w:r w:rsidRPr="002021B7">
              <w:rPr>
                <w:rFonts w:ascii="Palatino Linotype" w:hAnsi="Palatino Linotype"/>
                <w:sz w:val="24"/>
                <w:szCs w:val="24"/>
                <w:lang w:val="es-ES"/>
              </w:rPr>
              <w:t>I.</w:t>
            </w:r>
            <w:r w:rsidRPr="002021B7">
              <w:rPr>
                <w:rFonts w:ascii="Palatino Linotype" w:hAnsi="Palatino Linotype"/>
                <w:sz w:val="24"/>
                <w:szCs w:val="24"/>
                <w:lang w:val="es-ES"/>
              </w:rPr>
              <w:tab/>
              <w:t>Comprometa la seguridad nacional, la seguridad pública o la defensa nacional y cuente con un propósito genuino y un efecto demostrable;</w:t>
            </w:r>
          </w:p>
        </w:tc>
      </w:tr>
      <w:tr w:rsidR="000161B6" w:rsidRPr="002021B7" w:rsidTr="000A4818">
        <w:tc>
          <w:tcPr>
            <w:cnfStyle w:val="001000000000" w:firstRow="0" w:lastRow="0" w:firstColumn="1" w:lastColumn="0" w:oddVBand="0" w:evenVBand="0" w:oddHBand="0" w:evenHBand="0" w:firstRowFirstColumn="0" w:firstRowLastColumn="0" w:lastRowFirstColumn="0" w:lastRowLastColumn="0"/>
            <w:tcW w:w="3726" w:type="dxa"/>
          </w:tcPr>
          <w:p w:rsidR="000161B6" w:rsidRPr="002021B7" w:rsidRDefault="000161B6" w:rsidP="000A4818">
            <w:pPr>
              <w:autoSpaceDE w:val="0"/>
              <w:autoSpaceDN w:val="0"/>
              <w:adjustRightInd w:val="0"/>
              <w:spacing w:line="360" w:lineRule="auto"/>
              <w:jc w:val="both"/>
              <w:rPr>
                <w:rFonts w:ascii="Palatino Linotype" w:hAnsi="Palatino Linotype" w:cs="Arial"/>
                <w:b w:val="0"/>
                <w:sz w:val="24"/>
                <w:szCs w:val="24"/>
              </w:rPr>
            </w:pPr>
            <w:r w:rsidRPr="002021B7">
              <w:rPr>
                <w:rFonts w:ascii="Palatino Linotype" w:hAnsi="Palatino Linotype" w:cs="Arial"/>
                <w:b w:val="0"/>
                <w:sz w:val="24"/>
                <w:szCs w:val="24"/>
              </w:rPr>
              <w:t>II. Pueda menoscabar la conducción de las negociaciones y relaciones internacionales;</w:t>
            </w:r>
          </w:p>
        </w:tc>
        <w:tc>
          <w:tcPr>
            <w:tcW w:w="4089" w:type="dxa"/>
          </w:tcPr>
          <w:p w:rsidR="000161B6" w:rsidRPr="002021B7" w:rsidRDefault="000161B6" w:rsidP="000A481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val="es-ES"/>
              </w:rPr>
            </w:pPr>
            <w:r w:rsidRPr="002021B7">
              <w:rPr>
                <w:rFonts w:ascii="Palatino Linotype" w:hAnsi="Palatino Linotype"/>
                <w:sz w:val="24"/>
                <w:szCs w:val="24"/>
                <w:lang w:val="es-ES"/>
              </w:rPr>
              <w:t>II.</w:t>
            </w:r>
            <w:r w:rsidRPr="002021B7">
              <w:rPr>
                <w:rFonts w:ascii="Palatino Linotype" w:hAnsi="Palatino Linotype"/>
                <w:sz w:val="24"/>
                <w:szCs w:val="24"/>
                <w:lang w:val="es-ES"/>
              </w:rPr>
              <w:tab/>
              <w:t>Pueda menoscabar la conducción de las negociaciones y relaciones internacionales;</w:t>
            </w:r>
          </w:p>
        </w:tc>
      </w:tr>
      <w:tr w:rsidR="000161B6" w:rsidRPr="002021B7" w:rsidTr="000A48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rsidR="000161B6" w:rsidRPr="002021B7" w:rsidRDefault="000161B6" w:rsidP="000A4818">
            <w:pPr>
              <w:autoSpaceDE w:val="0"/>
              <w:autoSpaceDN w:val="0"/>
              <w:adjustRightInd w:val="0"/>
              <w:spacing w:line="360" w:lineRule="auto"/>
              <w:jc w:val="both"/>
              <w:rPr>
                <w:rFonts w:ascii="Palatino Linotype" w:hAnsi="Palatino Linotype" w:cs="Arial"/>
                <w:b w:val="0"/>
                <w:sz w:val="24"/>
                <w:szCs w:val="24"/>
              </w:rPr>
            </w:pPr>
            <w:r w:rsidRPr="002021B7">
              <w:rPr>
                <w:rFonts w:ascii="Palatino Linotype" w:hAnsi="Palatino Linotype" w:cs="Arial"/>
                <w:b w:val="0"/>
                <w:sz w:val="24"/>
                <w:szCs w:val="24"/>
              </w:rPr>
              <w:t xml:space="preserve">III. Se entregue a la Entidad expresamente con ese carácter o el de confidencialidad por otro u otros sujetos de derecho </w:t>
            </w:r>
            <w:r w:rsidRPr="002021B7">
              <w:rPr>
                <w:rFonts w:ascii="Palatino Linotype" w:hAnsi="Palatino Linotype" w:cs="Arial"/>
                <w:b w:val="0"/>
                <w:sz w:val="24"/>
                <w:szCs w:val="24"/>
              </w:rPr>
              <w:lastRenderedPageBreak/>
              <w:t>internacional, excepto cuando se trate de violaciones graves de derechos humanos o delitos de lesa humanidad de conformidad con el derecho internacional;</w:t>
            </w:r>
          </w:p>
        </w:tc>
        <w:tc>
          <w:tcPr>
            <w:tcW w:w="4089" w:type="dxa"/>
          </w:tcPr>
          <w:p w:rsidR="000161B6" w:rsidRPr="002021B7" w:rsidRDefault="000161B6" w:rsidP="000A481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lang w:val="es-ES"/>
              </w:rPr>
            </w:pPr>
            <w:r w:rsidRPr="002021B7">
              <w:rPr>
                <w:rFonts w:ascii="Palatino Linotype" w:hAnsi="Palatino Linotype"/>
                <w:sz w:val="24"/>
                <w:szCs w:val="24"/>
                <w:lang w:val="es-ES"/>
              </w:rPr>
              <w:lastRenderedPageBreak/>
              <w:t>III.</w:t>
            </w:r>
            <w:r w:rsidRPr="002021B7">
              <w:rPr>
                <w:rFonts w:ascii="Palatino Linotype" w:hAnsi="Palatino Linotype"/>
                <w:sz w:val="24"/>
                <w:szCs w:val="24"/>
                <w:lang w:val="es-ES"/>
              </w:rPr>
              <w:tab/>
              <w:t xml:space="preserve">Se entregue al Estado mexicano expresamente con ese carácter o el de confidencial por otro u otros sujetos de derecho </w:t>
            </w:r>
            <w:r w:rsidRPr="002021B7">
              <w:rPr>
                <w:rFonts w:ascii="Palatino Linotype" w:hAnsi="Palatino Linotype"/>
                <w:sz w:val="24"/>
                <w:szCs w:val="24"/>
                <w:lang w:val="es-ES"/>
              </w:rPr>
              <w:lastRenderedPageBreak/>
              <w:t>internacional, excepto cuando se trate de violaciones graves de derechos humanos o delitos de lesa humanidad de conformidad con el derecho internacional;</w:t>
            </w:r>
          </w:p>
        </w:tc>
      </w:tr>
      <w:tr w:rsidR="000161B6" w:rsidRPr="002021B7" w:rsidTr="000A4818">
        <w:tc>
          <w:tcPr>
            <w:cnfStyle w:val="001000000000" w:firstRow="0" w:lastRow="0" w:firstColumn="1" w:lastColumn="0" w:oddVBand="0" w:evenVBand="0" w:oddHBand="0" w:evenHBand="0" w:firstRowFirstColumn="0" w:firstRowLastColumn="0" w:lastRowFirstColumn="0" w:lastRowLastColumn="0"/>
            <w:tcW w:w="3726" w:type="dxa"/>
          </w:tcPr>
          <w:p w:rsidR="000161B6" w:rsidRPr="002021B7" w:rsidRDefault="000161B6" w:rsidP="000A4818">
            <w:pPr>
              <w:autoSpaceDE w:val="0"/>
              <w:autoSpaceDN w:val="0"/>
              <w:adjustRightInd w:val="0"/>
              <w:spacing w:line="360" w:lineRule="auto"/>
              <w:jc w:val="both"/>
              <w:rPr>
                <w:rFonts w:ascii="Palatino Linotype" w:hAnsi="Palatino Linotype" w:cs="Arial"/>
                <w:b w:val="0"/>
                <w:bCs w:val="0"/>
                <w:sz w:val="24"/>
                <w:szCs w:val="24"/>
              </w:rPr>
            </w:pPr>
          </w:p>
        </w:tc>
        <w:tc>
          <w:tcPr>
            <w:tcW w:w="4089" w:type="dxa"/>
          </w:tcPr>
          <w:p w:rsidR="000161B6" w:rsidRPr="002021B7" w:rsidRDefault="000161B6" w:rsidP="000A481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val="es-ES"/>
              </w:rPr>
            </w:pPr>
            <w:r w:rsidRPr="002021B7">
              <w:rPr>
                <w:rFonts w:ascii="Palatino Linotype" w:hAnsi="Palatino Linotype"/>
                <w:sz w:val="24"/>
                <w:szCs w:val="24"/>
                <w:lang w:val="es-ES"/>
              </w:rPr>
              <w:t>IV.</w:t>
            </w:r>
            <w:r w:rsidRPr="002021B7">
              <w:rPr>
                <w:rFonts w:ascii="Palatino Linotype" w:hAnsi="Palatino Linotype"/>
                <w:sz w:val="24"/>
                <w:szCs w:val="24"/>
                <w:lang w:val="es-ES"/>
              </w:rPr>
              <w:tab/>
              <w:t>Pueda afectar la efectividad de las medidas adoptadas en relación con las políticas en materia monetaria, cambiaria o del sistema financiero del país; pueda poner en riesgo la estabilidad de las instituciones financieras susceptibles de ser consideradas de riesgo sistémico o del sistema financiero del país, pueda comprometer la seguridad en la provisión de moneda nacional al país, o pueda incrementar el costo de operaciones financieras que realicen los sujetos obligados del sector público federal;</w:t>
            </w:r>
          </w:p>
        </w:tc>
      </w:tr>
      <w:tr w:rsidR="000161B6" w:rsidRPr="002021B7" w:rsidTr="000A48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rsidR="000161B6" w:rsidRPr="002021B7" w:rsidRDefault="000161B6" w:rsidP="000A4818">
            <w:pPr>
              <w:autoSpaceDE w:val="0"/>
              <w:autoSpaceDN w:val="0"/>
              <w:adjustRightInd w:val="0"/>
              <w:spacing w:line="360" w:lineRule="auto"/>
              <w:jc w:val="both"/>
              <w:rPr>
                <w:rFonts w:ascii="Palatino Linotype" w:hAnsi="Palatino Linotype" w:cs="Arial"/>
                <w:b w:val="0"/>
                <w:sz w:val="24"/>
                <w:szCs w:val="24"/>
              </w:rPr>
            </w:pPr>
            <w:r w:rsidRPr="002021B7">
              <w:rPr>
                <w:rFonts w:ascii="Palatino Linotype" w:hAnsi="Palatino Linotype" w:cs="Arial"/>
                <w:b w:val="0"/>
                <w:sz w:val="24"/>
                <w:szCs w:val="24"/>
              </w:rPr>
              <w:lastRenderedPageBreak/>
              <w:t>IV. Ponga en riesgo la vida, la seguridad o la salud de una persona física;</w:t>
            </w:r>
          </w:p>
        </w:tc>
        <w:tc>
          <w:tcPr>
            <w:tcW w:w="4089" w:type="dxa"/>
          </w:tcPr>
          <w:p w:rsidR="000161B6" w:rsidRPr="002021B7" w:rsidRDefault="000161B6" w:rsidP="000A481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lang w:val="es-ES"/>
              </w:rPr>
            </w:pPr>
            <w:r w:rsidRPr="002021B7">
              <w:rPr>
                <w:rFonts w:ascii="Palatino Linotype" w:hAnsi="Palatino Linotype"/>
                <w:sz w:val="24"/>
                <w:szCs w:val="24"/>
                <w:lang w:val="es-ES"/>
              </w:rPr>
              <w:t>V.</w:t>
            </w:r>
            <w:r w:rsidRPr="002021B7">
              <w:rPr>
                <w:rFonts w:ascii="Palatino Linotype" w:hAnsi="Palatino Linotype"/>
                <w:sz w:val="24"/>
                <w:szCs w:val="24"/>
                <w:lang w:val="es-ES"/>
              </w:rPr>
              <w:tab/>
              <w:t>Pueda poner en riesgo la vida, seguridad o salud de una persona física;</w:t>
            </w:r>
          </w:p>
        </w:tc>
      </w:tr>
      <w:tr w:rsidR="000161B6" w:rsidRPr="002021B7" w:rsidTr="000A4818">
        <w:tc>
          <w:tcPr>
            <w:cnfStyle w:val="001000000000" w:firstRow="0" w:lastRow="0" w:firstColumn="1" w:lastColumn="0" w:oddVBand="0" w:evenVBand="0" w:oddHBand="0" w:evenHBand="0" w:firstRowFirstColumn="0" w:firstRowLastColumn="0" w:lastRowFirstColumn="0" w:lastRowLastColumn="0"/>
            <w:tcW w:w="3726" w:type="dxa"/>
          </w:tcPr>
          <w:p w:rsidR="000161B6" w:rsidRPr="002021B7" w:rsidRDefault="000161B6" w:rsidP="000A4818">
            <w:pPr>
              <w:autoSpaceDE w:val="0"/>
              <w:autoSpaceDN w:val="0"/>
              <w:adjustRightInd w:val="0"/>
              <w:spacing w:line="360" w:lineRule="auto"/>
              <w:jc w:val="both"/>
              <w:rPr>
                <w:rFonts w:ascii="Palatino Linotype" w:hAnsi="Palatino Linotype" w:cs="Arial"/>
                <w:b w:val="0"/>
                <w:sz w:val="24"/>
                <w:szCs w:val="24"/>
              </w:rPr>
            </w:pPr>
            <w:r w:rsidRPr="002021B7">
              <w:rPr>
                <w:rFonts w:ascii="Palatino Linotype" w:hAnsi="Palatino Linotype" w:cs="Arial"/>
                <w:b w:val="0"/>
                <w:sz w:val="24"/>
                <w:szCs w:val="24"/>
              </w:rPr>
              <w:t>V. Aquella cuya divulgación obstruya o pueda causar un serio perjuicio a:</w:t>
            </w:r>
          </w:p>
          <w:p w:rsidR="000161B6" w:rsidRPr="002021B7" w:rsidRDefault="000161B6" w:rsidP="000A4818">
            <w:pPr>
              <w:autoSpaceDE w:val="0"/>
              <w:autoSpaceDN w:val="0"/>
              <w:adjustRightInd w:val="0"/>
              <w:spacing w:line="360" w:lineRule="auto"/>
              <w:jc w:val="both"/>
              <w:rPr>
                <w:rFonts w:ascii="Palatino Linotype" w:hAnsi="Palatino Linotype" w:cs="Arial"/>
                <w:b w:val="0"/>
                <w:sz w:val="24"/>
                <w:szCs w:val="24"/>
              </w:rPr>
            </w:pPr>
          </w:p>
          <w:p w:rsidR="000161B6" w:rsidRPr="002021B7" w:rsidRDefault="000161B6" w:rsidP="000A4818">
            <w:pPr>
              <w:autoSpaceDE w:val="0"/>
              <w:autoSpaceDN w:val="0"/>
              <w:adjustRightInd w:val="0"/>
              <w:spacing w:line="360" w:lineRule="auto"/>
              <w:jc w:val="both"/>
              <w:rPr>
                <w:rFonts w:ascii="Palatino Linotype" w:hAnsi="Palatino Linotype" w:cs="Arial"/>
                <w:b w:val="0"/>
                <w:sz w:val="24"/>
                <w:szCs w:val="24"/>
              </w:rPr>
            </w:pPr>
            <w:r w:rsidRPr="002021B7">
              <w:rPr>
                <w:rFonts w:ascii="Palatino Linotype" w:hAnsi="Palatino Linotype" w:cs="Arial"/>
                <w:b w:val="0"/>
                <w:sz w:val="24"/>
                <w:szCs w:val="24"/>
              </w:rPr>
              <w:t>1. Las actividades de fiscalización, verificación, inspección, comprobación y auditoría sobre el cumplimiento de las Leyes; o</w:t>
            </w:r>
          </w:p>
          <w:p w:rsidR="000161B6" w:rsidRPr="002021B7" w:rsidRDefault="000161B6" w:rsidP="000A4818">
            <w:pPr>
              <w:autoSpaceDE w:val="0"/>
              <w:autoSpaceDN w:val="0"/>
              <w:adjustRightInd w:val="0"/>
              <w:spacing w:line="360" w:lineRule="auto"/>
              <w:jc w:val="both"/>
              <w:rPr>
                <w:rFonts w:ascii="Palatino Linotype" w:hAnsi="Palatino Linotype" w:cs="Arial"/>
                <w:b w:val="0"/>
                <w:sz w:val="24"/>
                <w:szCs w:val="24"/>
              </w:rPr>
            </w:pPr>
          </w:p>
          <w:p w:rsidR="000161B6" w:rsidRPr="002021B7" w:rsidRDefault="000161B6" w:rsidP="000A4818">
            <w:pPr>
              <w:autoSpaceDE w:val="0"/>
              <w:autoSpaceDN w:val="0"/>
              <w:adjustRightInd w:val="0"/>
              <w:spacing w:line="360" w:lineRule="auto"/>
              <w:jc w:val="both"/>
              <w:rPr>
                <w:rFonts w:ascii="Palatino Linotype" w:hAnsi="Palatino Linotype" w:cs="Arial"/>
                <w:b w:val="0"/>
                <w:sz w:val="24"/>
                <w:szCs w:val="24"/>
              </w:rPr>
            </w:pPr>
            <w:r w:rsidRPr="002021B7">
              <w:rPr>
                <w:rFonts w:ascii="Palatino Linotype" w:hAnsi="Palatino Linotype" w:cs="Arial"/>
                <w:b w:val="0"/>
                <w:sz w:val="24"/>
                <w:szCs w:val="24"/>
              </w:rPr>
              <w:t>2. La recaudación de las contribuciones.</w:t>
            </w:r>
          </w:p>
        </w:tc>
        <w:tc>
          <w:tcPr>
            <w:tcW w:w="4089" w:type="dxa"/>
          </w:tcPr>
          <w:p w:rsidR="000161B6" w:rsidRPr="002021B7" w:rsidRDefault="000161B6" w:rsidP="000A481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val="es-ES"/>
              </w:rPr>
            </w:pPr>
            <w:r w:rsidRPr="002021B7">
              <w:rPr>
                <w:rFonts w:ascii="Palatino Linotype" w:hAnsi="Palatino Linotype"/>
                <w:sz w:val="24"/>
                <w:szCs w:val="24"/>
                <w:lang w:val="es-ES"/>
              </w:rPr>
              <w:t>VI.</w:t>
            </w:r>
            <w:r w:rsidRPr="002021B7">
              <w:rPr>
                <w:rFonts w:ascii="Palatino Linotype" w:hAnsi="Palatino Linotype"/>
                <w:sz w:val="24"/>
                <w:szCs w:val="24"/>
                <w:lang w:val="es-ES"/>
              </w:rPr>
              <w:tab/>
              <w:t>Obstruya las actividades de verificación, inspección y auditoría relativas al cumplimiento de las leyes o afecte la recaudación de contribuciones;</w:t>
            </w:r>
          </w:p>
          <w:p w:rsidR="000161B6" w:rsidRPr="002021B7" w:rsidRDefault="000161B6" w:rsidP="000A481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val="es-ES"/>
              </w:rPr>
            </w:pPr>
          </w:p>
          <w:p w:rsidR="000161B6" w:rsidRPr="002021B7" w:rsidRDefault="000161B6" w:rsidP="000A481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p>
        </w:tc>
      </w:tr>
      <w:tr w:rsidR="000161B6" w:rsidRPr="002021B7" w:rsidTr="000A48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rsidR="000161B6" w:rsidRPr="002021B7" w:rsidRDefault="000161B6" w:rsidP="000A4818">
            <w:pPr>
              <w:autoSpaceDE w:val="0"/>
              <w:autoSpaceDN w:val="0"/>
              <w:adjustRightInd w:val="0"/>
              <w:spacing w:line="360" w:lineRule="auto"/>
              <w:jc w:val="both"/>
              <w:rPr>
                <w:rFonts w:ascii="Palatino Linotype" w:hAnsi="Palatino Linotype" w:cs="Arial"/>
                <w:b w:val="0"/>
                <w:sz w:val="24"/>
                <w:szCs w:val="24"/>
              </w:rPr>
            </w:pPr>
            <w:r w:rsidRPr="002021B7">
              <w:rPr>
                <w:rFonts w:ascii="Palatino Linotype" w:hAnsi="Palatino Linotype" w:cs="Arial"/>
                <w:b w:val="0"/>
                <w:sz w:val="24"/>
                <w:szCs w:val="24"/>
              </w:rPr>
              <w:t xml:space="preserve">VI. Pueda causar daño u obstruya la prevención o persecución de los delitos, altere el proceso de investigación de las carpetas de investigación, afecte o vulnere la conducción o los derechos del debido proceso en </w:t>
            </w:r>
            <w:r w:rsidRPr="002021B7">
              <w:rPr>
                <w:rFonts w:ascii="Palatino Linotype" w:hAnsi="Palatino Linotype" w:cs="Arial"/>
                <w:b w:val="0"/>
                <w:sz w:val="24"/>
                <w:szCs w:val="24"/>
              </w:rPr>
              <w:lastRenderedPageBreak/>
              <w:t>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tc>
        <w:tc>
          <w:tcPr>
            <w:tcW w:w="4089" w:type="dxa"/>
          </w:tcPr>
          <w:p w:rsidR="000161B6" w:rsidRPr="002021B7" w:rsidRDefault="000161B6" w:rsidP="000A481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lang w:val="es-ES"/>
              </w:rPr>
            </w:pPr>
            <w:r w:rsidRPr="002021B7">
              <w:rPr>
                <w:rFonts w:ascii="Palatino Linotype" w:hAnsi="Palatino Linotype"/>
                <w:sz w:val="24"/>
                <w:szCs w:val="24"/>
                <w:lang w:val="es-ES"/>
              </w:rPr>
              <w:lastRenderedPageBreak/>
              <w:t>VII.</w:t>
            </w:r>
            <w:r w:rsidRPr="002021B7">
              <w:rPr>
                <w:rFonts w:ascii="Palatino Linotype" w:hAnsi="Palatino Linotype"/>
                <w:sz w:val="24"/>
                <w:szCs w:val="24"/>
                <w:lang w:val="es-ES"/>
              </w:rPr>
              <w:tab/>
              <w:t>Obstruya la prevención o persecución de los delitos;</w:t>
            </w:r>
          </w:p>
          <w:p w:rsidR="000161B6" w:rsidRPr="002021B7" w:rsidRDefault="000161B6" w:rsidP="000A481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lang w:val="es-ES"/>
              </w:rPr>
            </w:pPr>
          </w:p>
          <w:p w:rsidR="000161B6" w:rsidRPr="002021B7" w:rsidRDefault="000161B6" w:rsidP="000A481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p>
        </w:tc>
      </w:tr>
      <w:tr w:rsidR="000161B6" w:rsidRPr="002021B7" w:rsidTr="000A4818">
        <w:tc>
          <w:tcPr>
            <w:cnfStyle w:val="001000000000" w:firstRow="0" w:lastRow="0" w:firstColumn="1" w:lastColumn="0" w:oddVBand="0" w:evenVBand="0" w:oddHBand="0" w:evenHBand="0" w:firstRowFirstColumn="0" w:firstRowLastColumn="0" w:lastRowFirstColumn="0" w:lastRowLastColumn="0"/>
            <w:tcW w:w="3726" w:type="dxa"/>
          </w:tcPr>
          <w:p w:rsidR="000161B6" w:rsidRPr="002021B7" w:rsidRDefault="000161B6" w:rsidP="000A4818">
            <w:pPr>
              <w:autoSpaceDE w:val="0"/>
              <w:autoSpaceDN w:val="0"/>
              <w:adjustRightInd w:val="0"/>
              <w:spacing w:line="360" w:lineRule="auto"/>
              <w:jc w:val="both"/>
              <w:rPr>
                <w:rFonts w:ascii="Palatino Linotype" w:hAnsi="Palatino Linotype" w:cs="Arial"/>
                <w:b w:val="0"/>
                <w:sz w:val="24"/>
                <w:szCs w:val="24"/>
              </w:rPr>
            </w:pPr>
            <w:r w:rsidRPr="002021B7">
              <w:rPr>
                <w:rFonts w:ascii="Palatino Linotype" w:hAnsi="Palatino Linotype" w:cs="Arial"/>
                <w:b w:val="0"/>
                <w:sz w:val="24"/>
                <w:szCs w:val="24"/>
              </w:rPr>
              <w:t>VII. La que contengan las opiniones, recomendaciones o puntos de vista que formen parte del proceso deliberativo de los servidores públicos, hasta en tanto sea adoptada la decisión definitiva, la cual deberá estar documentada;</w:t>
            </w:r>
          </w:p>
        </w:tc>
        <w:tc>
          <w:tcPr>
            <w:tcW w:w="4089" w:type="dxa"/>
          </w:tcPr>
          <w:p w:rsidR="000161B6" w:rsidRPr="002021B7" w:rsidRDefault="000161B6" w:rsidP="000A481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val="es-ES"/>
              </w:rPr>
            </w:pPr>
            <w:r w:rsidRPr="002021B7">
              <w:rPr>
                <w:rFonts w:ascii="Palatino Linotype" w:hAnsi="Palatino Linotype"/>
                <w:sz w:val="24"/>
                <w:szCs w:val="24"/>
                <w:lang w:val="es-ES"/>
              </w:rPr>
              <w:t>VIII.</w:t>
            </w:r>
            <w:r w:rsidRPr="002021B7">
              <w:rPr>
                <w:rFonts w:ascii="Palatino Linotype" w:hAnsi="Palatino Linotype"/>
                <w:sz w:val="24"/>
                <w:szCs w:val="24"/>
                <w:lang w:val="es-ES"/>
              </w:rPr>
              <w:tab/>
              <w:t>La que contenga las opiniones, recomendaciones o puntos de vista que formen parte del proceso deliberativo de los servidores públicos, hasta en tanto no sea adoptada la decisión definitiva, la cual deberá estar documentada;</w:t>
            </w:r>
          </w:p>
        </w:tc>
      </w:tr>
      <w:tr w:rsidR="000161B6" w:rsidRPr="002021B7" w:rsidTr="000A48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rsidR="000161B6" w:rsidRPr="002021B7" w:rsidRDefault="000161B6" w:rsidP="000A4818">
            <w:pPr>
              <w:autoSpaceDE w:val="0"/>
              <w:autoSpaceDN w:val="0"/>
              <w:adjustRightInd w:val="0"/>
              <w:spacing w:line="360" w:lineRule="auto"/>
              <w:jc w:val="both"/>
              <w:rPr>
                <w:rFonts w:ascii="Palatino Linotype" w:hAnsi="Palatino Linotype" w:cs="Arial"/>
                <w:b w:val="0"/>
                <w:bCs w:val="0"/>
                <w:sz w:val="24"/>
                <w:szCs w:val="24"/>
              </w:rPr>
            </w:pPr>
          </w:p>
        </w:tc>
        <w:tc>
          <w:tcPr>
            <w:tcW w:w="4089" w:type="dxa"/>
          </w:tcPr>
          <w:p w:rsidR="000161B6" w:rsidRPr="002021B7" w:rsidRDefault="000161B6" w:rsidP="000A481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lang w:val="es-ES"/>
              </w:rPr>
            </w:pPr>
            <w:r w:rsidRPr="002021B7">
              <w:rPr>
                <w:rFonts w:ascii="Palatino Linotype" w:hAnsi="Palatino Linotype"/>
                <w:sz w:val="24"/>
                <w:szCs w:val="24"/>
                <w:lang w:val="es-ES"/>
              </w:rPr>
              <w:t>IX.</w:t>
            </w:r>
            <w:r w:rsidRPr="002021B7">
              <w:rPr>
                <w:rFonts w:ascii="Palatino Linotype" w:hAnsi="Palatino Linotype"/>
                <w:sz w:val="24"/>
                <w:szCs w:val="24"/>
                <w:lang w:val="es-ES"/>
              </w:rPr>
              <w:tab/>
              <w:t>Obstruya los procedimientos para fincar responsabilidad a los Servidores Públicos, en tanto no se haya dictado la resolución administrativa;</w:t>
            </w:r>
          </w:p>
        </w:tc>
      </w:tr>
      <w:tr w:rsidR="000161B6" w:rsidRPr="002021B7" w:rsidTr="000A4818">
        <w:tc>
          <w:tcPr>
            <w:cnfStyle w:val="001000000000" w:firstRow="0" w:lastRow="0" w:firstColumn="1" w:lastColumn="0" w:oddVBand="0" w:evenVBand="0" w:oddHBand="0" w:evenHBand="0" w:firstRowFirstColumn="0" w:firstRowLastColumn="0" w:lastRowFirstColumn="0" w:lastRowLastColumn="0"/>
            <w:tcW w:w="3726" w:type="dxa"/>
          </w:tcPr>
          <w:p w:rsidR="000161B6" w:rsidRPr="002021B7" w:rsidRDefault="000161B6" w:rsidP="000A4818">
            <w:pPr>
              <w:autoSpaceDE w:val="0"/>
              <w:autoSpaceDN w:val="0"/>
              <w:adjustRightInd w:val="0"/>
              <w:spacing w:line="360" w:lineRule="auto"/>
              <w:jc w:val="both"/>
              <w:rPr>
                <w:rFonts w:ascii="Palatino Linotype" w:hAnsi="Palatino Linotype" w:cs="Arial"/>
                <w:b w:val="0"/>
                <w:bCs w:val="0"/>
                <w:sz w:val="24"/>
                <w:szCs w:val="24"/>
              </w:rPr>
            </w:pPr>
          </w:p>
        </w:tc>
        <w:tc>
          <w:tcPr>
            <w:tcW w:w="4089" w:type="dxa"/>
          </w:tcPr>
          <w:p w:rsidR="000161B6" w:rsidRPr="002021B7" w:rsidRDefault="000161B6" w:rsidP="000A481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val="es-ES"/>
              </w:rPr>
            </w:pPr>
            <w:r w:rsidRPr="002021B7">
              <w:rPr>
                <w:rFonts w:ascii="Palatino Linotype" w:hAnsi="Palatino Linotype"/>
                <w:sz w:val="24"/>
                <w:szCs w:val="24"/>
                <w:lang w:val="es-ES"/>
              </w:rPr>
              <w:t>X.</w:t>
            </w:r>
            <w:r w:rsidRPr="002021B7">
              <w:rPr>
                <w:rFonts w:ascii="Palatino Linotype" w:hAnsi="Palatino Linotype"/>
                <w:sz w:val="24"/>
                <w:szCs w:val="24"/>
                <w:lang w:val="es-ES"/>
              </w:rPr>
              <w:tab/>
              <w:t>Afecte los derechos del debido proceso;</w:t>
            </w:r>
          </w:p>
        </w:tc>
      </w:tr>
      <w:tr w:rsidR="000161B6" w:rsidRPr="002021B7" w:rsidTr="000A48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rsidR="000161B6" w:rsidRPr="002021B7" w:rsidRDefault="000161B6" w:rsidP="000A4818">
            <w:pPr>
              <w:autoSpaceDE w:val="0"/>
              <w:autoSpaceDN w:val="0"/>
              <w:adjustRightInd w:val="0"/>
              <w:spacing w:line="360" w:lineRule="auto"/>
              <w:jc w:val="both"/>
              <w:rPr>
                <w:rFonts w:ascii="Palatino Linotype" w:hAnsi="Palatino Linotype" w:cs="Arial"/>
                <w:b w:val="0"/>
                <w:bCs w:val="0"/>
                <w:sz w:val="24"/>
                <w:szCs w:val="24"/>
              </w:rPr>
            </w:pPr>
            <w:r w:rsidRPr="002021B7">
              <w:rPr>
                <w:rFonts w:ascii="Palatino Linotype" w:hAnsi="Palatino Linotype" w:cs="Arial"/>
                <w:b w:val="0"/>
                <w:sz w:val="24"/>
                <w:szCs w:val="24"/>
              </w:rPr>
              <w:t>VIII. Vulnere la conducción de los expedientes judiciales o de los procedimientos administrativos seguidos en forma de juicio, en tanto no hayan quedado firmes;</w:t>
            </w:r>
          </w:p>
        </w:tc>
        <w:tc>
          <w:tcPr>
            <w:tcW w:w="4089" w:type="dxa"/>
          </w:tcPr>
          <w:p w:rsidR="000161B6" w:rsidRPr="002021B7" w:rsidRDefault="000161B6" w:rsidP="000A481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lang w:val="es-ES"/>
              </w:rPr>
            </w:pPr>
            <w:r w:rsidRPr="002021B7">
              <w:rPr>
                <w:rFonts w:ascii="Palatino Linotype" w:hAnsi="Palatino Linotype"/>
                <w:sz w:val="24"/>
                <w:szCs w:val="24"/>
                <w:lang w:val="es-ES"/>
              </w:rPr>
              <w:t>XI.</w:t>
            </w:r>
            <w:r w:rsidRPr="002021B7">
              <w:rPr>
                <w:rFonts w:ascii="Palatino Linotype" w:hAnsi="Palatino Linotype"/>
                <w:sz w:val="24"/>
                <w:szCs w:val="24"/>
                <w:lang w:val="es-ES"/>
              </w:rPr>
              <w:tab/>
              <w:t>Vulnere la conducción de los Expedientes judiciales o de los procedimientos administrativos seguidos en forma de juicio, en tanto no hayan causado estado;</w:t>
            </w:r>
          </w:p>
        </w:tc>
      </w:tr>
      <w:tr w:rsidR="000161B6" w:rsidRPr="002021B7" w:rsidTr="000A4818">
        <w:tc>
          <w:tcPr>
            <w:cnfStyle w:val="001000000000" w:firstRow="0" w:lastRow="0" w:firstColumn="1" w:lastColumn="0" w:oddVBand="0" w:evenVBand="0" w:oddHBand="0" w:evenHBand="0" w:firstRowFirstColumn="0" w:firstRowLastColumn="0" w:lastRowFirstColumn="0" w:lastRowLastColumn="0"/>
            <w:tcW w:w="3726" w:type="dxa"/>
          </w:tcPr>
          <w:p w:rsidR="000161B6" w:rsidRPr="002021B7" w:rsidRDefault="000161B6" w:rsidP="000A4818">
            <w:pPr>
              <w:autoSpaceDE w:val="0"/>
              <w:autoSpaceDN w:val="0"/>
              <w:adjustRightInd w:val="0"/>
              <w:spacing w:line="360" w:lineRule="auto"/>
              <w:jc w:val="both"/>
              <w:rPr>
                <w:rFonts w:ascii="Palatino Linotype" w:hAnsi="Palatino Linotype" w:cs="Arial"/>
                <w:b w:val="0"/>
                <w:sz w:val="24"/>
                <w:szCs w:val="24"/>
              </w:rPr>
            </w:pPr>
            <w:r w:rsidRPr="002021B7">
              <w:rPr>
                <w:rFonts w:ascii="Palatino Linotype" w:hAnsi="Palatino Linotype" w:cs="Arial"/>
                <w:b w:val="0"/>
                <w:sz w:val="24"/>
                <w:szCs w:val="24"/>
              </w:rPr>
              <w:t>IX. Se encuentre contenida dentro de las investigaciones de hechos que la Ley señale como delitos y se tramiten ante el Ministerio Público;</w:t>
            </w:r>
          </w:p>
        </w:tc>
        <w:tc>
          <w:tcPr>
            <w:tcW w:w="4089" w:type="dxa"/>
          </w:tcPr>
          <w:p w:rsidR="000161B6" w:rsidRPr="002021B7" w:rsidRDefault="000161B6" w:rsidP="000A481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val="es-ES"/>
              </w:rPr>
            </w:pPr>
            <w:r w:rsidRPr="002021B7">
              <w:rPr>
                <w:rFonts w:ascii="Palatino Linotype" w:hAnsi="Palatino Linotype"/>
                <w:sz w:val="24"/>
                <w:szCs w:val="24"/>
                <w:lang w:val="es-ES"/>
              </w:rPr>
              <w:t>XII.</w:t>
            </w:r>
            <w:r w:rsidRPr="002021B7">
              <w:rPr>
                <w:rFonts w:ascii="Palatino Linotype" w:hAnsi="Palatino Linotype"/>
                <w:sz w:val="24"/>
                <w:szCs w:val="24"/>
                <w:lang w:val="es-ES"/>
              </w:rPr>
              <w:tab/>
              <w:t>Se encuentre contenida dentro de las investigaciones de hechos que la ley señale como delitos y se tramiten ante el Ministerio Público, y</w:t>
            </w:r>
          </w:p>
        </w:tc>
      </w:tr>
      <w:tr w:rsidR="000161B6" w:rsidRPr="002021B7" w:rsidTr="000A48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rsidR="000161B6" w:rsidRPr="002021B7" w:rsidRDefault="000161B6" w:rsidP="000A4818">
            <w:pPr>
              <w:autoSpaceDE w:val="0"/>
              <w:autoSpaceDN w:val="0"/>
              <w:adjustRightInd w:val="0"/>
              <w:spacing w:line="360" w:lineRule="auto"/>
              <w:jc w:val="both"/>
              <w:rPr>
                <w:rFonts w:ascii="Palatino Linotype" w:hAnsi="Palatino Linotype" w:cs="Arial"/>
                <w:b w:val="0"/>
                <w:sz w:val="24"/>
                <w:szCs w:val="24"/>
              </w:rPr>
            </w:pPr>
            <w:r w:rsidRPr="002021B7">
              <w:rPr>
                <w:rFonts w:ascii="Palatino Linotype" w:hAnsi="Palatino Linotype" w:cs="Arial"/>
                <w:b w:val="0"/>
                <w:sz w:val="24"/>
                <w:szCs w:val="24"/>
              </w:rPr>
              <w:t xml:space="preserve">X. El daño que pueda producirse con la publicación de la información sea mayor que el interés público de conocer la información de referencia, </w:t>
            </w:r>
            <w:r w:rsidRPr="002021B7">
              <w:rPr>
                <w:rFonts w:ascii="Palatino Linotype" w:hAnsi="Palatino Linotype" w:cs="Arial"/>
                <w:b w:val="0"/>
                <w:sz w:val="24"/>
                <w:szCs w:val="24"/>
              </w:rPr>
              <w:lastRenderedPageBreak/>
              <w:t>siempre que esté directamente relacionado con procesos o procedimientos administrativos o judiciales que no hayan quedado firmes;</w:t>
            </w:r>
          </w:p>
          <w:p w:rsidR="000161B6" w:rsidRPr="002021B7" w:rsidRDefault="000161B6" w:rsidP="000A4818">
            <w:pPr>
              <w:autoSpaceDE w:val="0"/>
              <w:autoSpaceDN w:val="0"/>
              <w:adjustRightInd w:val="0"/>
              <w:spacing w:line="360" w:lineRule="auto"/>
              <w:jc w:val="both"/>
              <w:rPr>
                <w:rFonts w:ascii="Palatino Linotype" w:hAnsi="Palatino Linotype" w:cs="Arial"/>
                <w:b w:val="0"/>
                <w:sz w:val="24"/>
                <w:szCs w:val="24"/>
              </w:rPr>
            </w:pPr>
            <w:r w:rsidRPr="002021B7">
              <w:rPr>
                <w:rFonts w:ascii="Palatino Linotype" w:hAnsi="Palatino Linotype" w:cs="Arial"/>
                <w:b w:val="0"/>
                <w:sz w:val="24"/>
                <w:szCs w:val="24"/>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tc>
        <w:tc>
          <w:tcPr>
            <w:tcW w:w="4089" w:type="dxa"/>
          </w:tcPr>
          <w:p w:rsidR="000161B6" w:rsidRPr="002021B7" w:rsidRDefault="000161B6" w:rsidP="000A481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p>
        </w:tc>
      </w:tr>
      <w:tr w:rsidR="000161B6" w:rsidRPr="002021B7" w:rsidTr="000A4818">
        <w:tc>
          <w:tcPr>
            <w:cnfStyle w:val="001000000000" w:firstRow="0" w:lastRow="0" w:firstColumn="1" w:lastColumn="0" w:oddVBand="0" w:evenVBand="0" w:oddHBand="0" w:evenHBand="0" w:firstRowFirstColumn="0" w:firstRowLastColumn="0" w:lastRowFirstColumn="0" w:lastRowLastColumn="0"/>
            <w:tcW w:w="3726" w:type="dxa"/>
          </w:tcPr>
          <w:p w:rsidR="000161B6" w:rsidRPr="002021B7" w:rsidRDefault="000161B6" w:rsidP="000A4818">
            <w:pPr>
              <w:spacing w:line="360" w:lineRule="auto"/>
              <w:jc w:val="both"/>
              <w:rPr>
                <w:rFonts w:ascii="Palatino Linotype" w:hAnsi="Palatino Linotype"/>
                <w:b w:val="0"/>
                <w:sz w:val="24"/>
                <w:szCs w:val="24"/>
              </w:rPr>
            </w:pPr>
            <w:r w:rsidRPr="002021B7">
              <w:rPr>
                <w:rFonts w:ascii="Palatino Linotype" w:hAnsi="Palatino Linotype" w:cs="Arial"/>
                <w:b w:val="0"/>
                <w:sz w:val="24"/>
                <w:szCs w:val="24"/>
              </w:rPr>
              <w:t xml:space="preserve">XI. Las que por disposición expresa de una ley tengan tal carácter, siempre que sean acordes con las bases, principios y disposiciones establecidos en esta Ley y no la contravengan; así </w:t>
            </w:r>
            <w:r w:rsidRPr="002021B7">
              <w:rPr>
                <w:rFonts w:ascii="Palatino Linotype" w:hAnsi="Palatino Linotype" w:cs="Arial"/>
                <w:b w:val="0"/>
                <w:sz w:val="24"/>
                <w:szCs w:val="24"/>
              </w:rPr>
              <w:lastRenderedPageBreak/>
              <w:t>como las previstas en tratados internacionales.</w:t>
            </w:r>
          </w:p>
        </w:tc>
        <w:tc>
          <w:tcPr>
            <w:tcW w:w="4089" w:type="dxa"/>
          </w:tcPr>
          <w:p w:rsidR="000161B6" w:rsidRPr="002021B7" w:rsidRDefault="000161B6" w:rsidP="000A481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val="es-ES"/>
              </w:rPr>
            </w:pPr>
            <w:r w:rsidRPr="002021B7">
              <w:rPr>
                <w:rFonts w:ascii="Palatino Linotype" w:hAnsi="Palatino Linotype"/>
                <w:sz w:val="24"/>
                <w:szCs w:val="24"/>
                <w:lang w:val="es-ES"/>
              </w:rPr>
              <w:lastRenderedPageBreak/>
              <w:t>XIII.</w:t>
            </w:r>
            <w:r w:rsidRPr="002021B7">
              <w:rPr>
                <w:rFonts w:ascii="Palatino Linotype" w:hAnsi="Palatino Linotype"/>
                <w:sz w:val="24"/>
                <w:szCs w:val="24"/>
                <w:lang w:val="es-ES"/>
              </w:rPr>
              <w:tab/>
              <w:t xml:space="preserve">Las que por disposición expresa de una ley tengan tal carácter, siempre que sean acordes con las bases, principios y disposiciones establecidos en esta Ley y no la contravengan; así como </w:t>
            </w:r>
            <w:r w:rsidRPr="002021B7">
              <w:rPr>
                <w:rFonts w:ascii="Palatino Linotype" w:hAnsi="Palatino Linotype"/>
                <w:sz w:val="24"/>
                <w:szCs w:val="24"/>
                <w:lang w:val="es-ES"/>
              </w:rPr>
              <w:lastRenderedPageBreak/>
              <w:t>las previstas en tratados internacionales.</w:t>
            </w:r>
          </w:p>
        </w:tc>
      </w:tr>
    </w:tbl>
    <w:p w:rsidR="000161B6" w:rsidRPr="002021B7" w:rsidRDefault="000161B6" w:rsidP="000161B6">
      <w:pPr>
        <w:spacing w:line="360" w:lineRule="auto"/>
        <w:jc w:val="both"/>
        <w:rPr>
          <w:rFonts w:ascii="Palatino Linotype" w:hAnsi="Palatino Linotype" w:cs="Arial"/>
          <w:color w:val="000000" w:themeColor="text1"/>
          <w:sz w:val="24"/>
          <w:szCs w:val="24"/>
        </w:rPr>
      </w:pPr>
    </w:p>
    <w:p w:rsidR="000161B6" w:rsidRPr="002021B7" w:rsidRDefault="000161B6" w:rsidP="003E4DF1">
      <w:pPr>
        <w:pStyle w:val="Prrafodelista"/>
        <w:numPr>
          <w:ilvl w:val="0"/>
          <w:numId w:val="1"/>
        </w:numPr>
        <w:spacing w:line="360" w:lineRule="auto"/>
        <w:ind w:left="426"/>
        <w:jc w:val="both"/>
        <w:rPr>
          <w:rFonts w:ascii="Palatino Linotype" w:hAnsi="Palatino Linotype" w:cs="Arial"/>
          <w:color w:val="000000" w:themeColor="text1"/>
          <w:sz w:val="24"/>
          <w:szCs w:val="24"/>
        </w:rPr>
      </w:pPr>
      <w:r w:rsidRPr="002021B7">
        <w:rPr>
          <w:rFonts w:ascii="Palatino Linotype" w:hAnsi="Palatino Linotype" w:cs="Arial"/>
          <w:color w:val="000000" w:themeColor="text1"/>
          <w:sz w:val="24"/>
          <w:szCs w:val="24"/>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0161B6" w:rsidRPr="002021B7" w:rsidRDefault="000161B6" w:rsidP="000161B6">
      <w:pPr>
        <w:pStyle w:val="Prrafodelista"/>
        <w:spacing w:line="360" w:lineRule="auto"/>
        <w:ind w:left="426"/>
        <w:jc w:val="both"/>
        <w:rPr>
          <w:rFonts w:ascii="Palatino Linotype" w:hAnsi="Palatino Linotype" w:cs="Arial"/>
          <w:color w:val="000000" w:themeColor="text1"/>
          <w:sz w:val="24"/>
          <w:szCs w:val="24"/>
        </w:rPr>
      </w:pPr>
    </w:p>
    <w:p w:rsidR="000161B6" w:rsidRPr="002021B7" w:rsidRDefault="000161B6" w:rsidP="003E4DF1">
      <w:pPr>
        <w:pStyle w:val="Prrafodelista"/>
        <w:numPr>
          <w:ilvl w:val="0"/>
          <w:numId w:val="1"/>
        </w:numPr>
        <w:spacing w:line="360" w:lineRule="auto"/>
        <w:ind w:left="426"/>
        <w:jc w:val="both"/>
        <w:rPr>
          <w:rFonts w:ascii="Palatino Linotype" w:hAnsi="Palatino Linotype" w:cs="Arial"/>
          <w:color w:val="000000" w:themeColor="text1"/>
          <w:sz w:val="24"/>
          <w:szCs w:val="24"/>
        </w:rPr>
      </w:pPr>
      <w:r w:rsidRPr="002021B7">
        <w:rPr>
          <w:rFonts w:ascii="Palatino Linotype" w:hAnsi="Palatino Linotype" w:cs="Arial"/>
          <w:color w:val="000000" w:themeColor="text1"/>
          <w:sz w:val="24"/>
          <w:szCs w:val="24"/>
        </w:rPr>
        <w:t>Como consecuencia de lo anterior, el sujeto obligado debe identificar claramente el tipo de información y hacer un juicio de subsunción o encaje</w:t>
      </w:r>
      <w:r w:rsidRPr="002021B7">
        <w:rPr>
          <w:rStyle w:val="Refdenotaalpie"/>
          <w:rFonts w:ascii="Palatino Linotype" w:hAnsi="Palatino Linotype" w:cs="Arial"/>
          <w:color w:val="000000" w:themeColor="text1"/>
          <w:sz w:val="24"/>
          <w:szCs w:val="24"/>
        </w:rPr>
        <w:footnoteReference w:id="3"/>
      </w:r>
      <w:r w:rsidRPr="002021B7">
        <w:rPr>
          <w:rFonts w:ascii="Palatino Linotype" w:hAnsi="Palatino Linotype" w:cs="Arial"/>
          <w:color w:val="000000" w:themeColor="text1"/>
          <w:sz w:val="24"/>
          <w:szCs w:val="24"/>
        </w:rPr>
        <w:t xml:space="preserve"> para acreditar que el supuesto de hecho corresponde estrictamente con la hipótesis jurídica. </w:t>
      </w:r>
      <w:r w:rsidRPr="002021B7">
        <w:rPr>
          <w:rFonts w:ascii="Palatino Linotype" w:hAnsi="Palatino Linotype" w:cs="Arial"/>
          <w:color w:val="000000" w:themeColor="text1"/>
          <w:sz w:val="24"/>
          <w:szCs w:val="24"/>
        </w:rPr>
        <w:lastRenderedPageBreak/>
        <w:t>Esto también lo debe de realizar el servidor público habilitado y el titular del área que administra la información.</w:t>
      </w:r>
    </w:p>
    <w:p w:rsidR="000161B6" w:rsidRPr="002021B7" w:rsidRDefault="000161B6" w:rsidP="000161B6">
      <w:pPr>
        <w:pStyle w:val="Prrafodelista"/>
        <w:spacing w:line="360" w:lineRule="auto"/>
        <w:ind w:left="426"/>
        <w:jc w:val="both"/>
        <w:rPr>
          <w:rFonts w:ascii="Palatino Linotype" w:hAnsi="Palatino Linotype" w:cs="Arial"/>
          <w:color w:val="000000" w:themeColor="text1"/>
          <w:sz w:val="24"/>
          <w:szCs w:val="24"/>
        </w:rPr>
      </w:pPr>
    </w:p>
    <w:p w:rsidR="000161B6" w:rsidRPr="002021B7" w:rsidRDefault="000161B6" w:rsidP="003E4DF1">
      <w:pPr>
        <w:pStyle w:val="Prrafodelista"/>
        <w:numPr>
          <w:ilvl w:val="0"/>
          <w:numId w:val="1"/>
        </w:numPr>
        <w:spacing w:line="360" w:lineRule="auto"/>
        <w:ind w:left="426"/>
        <w:jc w:val="both"/>
        <w:rPr>
          <w:rFonts w:ascii="Palatino Linotype" w:hAnsi="Palatino Linotype" w:cs="Arial"/>
          <w:color w:val="000000" w:themeColor="text1"/>
          <w:sz w:val="24"/>
          <w:szCs w:val="24"/>
        </w:rPr>
      </w:pPr>
      <w:r w:rsidRPr="002021B7">
        <w:rPr>
          <w:rFonts w:ascii="Palatino Linotype" w:hAnsi="Palatino Linotype" w:cs="Arial"/>
          <w:color w:val="000000" w:themeColor="text1"/>
          <w:sz w:val="24"/>
          <w:szCs w:val="24"/>
        </w:rPr>
        <w:t>Una vez hecho lo anterior, se remite la información al Titular de la Unidad de Transparencia, con el acuerdo de clasificación correspondiente, para que sea sometido al conocimiento del Comité de Transparencia.</w:t>
      </w:r>
    </w:p>
    <w:p w:rsidR="000161B6" w:rsidRPr="00CC7D48" w:rsidRDefault="000161B6" w:rsidP="003E4DF1">
      <w:pPr>
        <w:pStyle w:val="Ttulo2"/>
        <w:numPr>
          <w:ilvl w:val="0"/>
          <w:numId w:val="3"/>
        </w:numPr>
        <w:ind w:left="709"/>
        <w:rPr>
          <w:rFonts w:ascii="Palatino Linotype" w:hAnsi="Palatino Linotype"/>
          <w:b/>
          <w:color w:val="auto"/>
          <w:sz w:val="24"/>
        </w:rPr>
      </w:pPr>
      <w:bookmarkStart w:id="5" w:name="_Toc13235980"/>
      <w:r w:rsidRPr="00CC7D48">
        <w:rPr>
          <w:rFonts w:ascii="Palatino Linotype" w:hAnsi="Palatino Linotype"/>
          <w:b/>
          <w:color w:val="auto"/>
          <w:sz w:val="24"/>
        </w:rPr>
        <w:t>Excepciones a los supuestos de clasificación de la información como reservada</w:t>
      </w:r>
      <w:bookmarkEnd w:id="5"/>
    </w:p>
    <w:p w:rsidR="000161B6" w:rsidRDefault="000161B6" w:rsidP="003E4DF1">
      <w:pPr>
        <w:pStyle w:val="NormalWeb"/>
        <w:numPr>
          <w:ilvl w:val="0"/>
          <w:numId w:val="1"/>
        </w:numPr>
        <w:spacing w:line="360" w:lineRule="auto"/>
        <w:ind w:left="426"/>
        <w:jc w:val="both"/>
        <w:rPr>
          <w:rFonts w:ascii="Palatino Linotype" w:hAnsi="Palatino Linotype"/>
        </w:rPr>
      </w:pPr>
      <w:r w:rsidRPr="002021B7">
        <w:rPr>
          <w:rFonts w:ascii="Palatino Linotype" w:hAnsi="Palatino Linotype"/>
        </w:rPr>
        <w:t xml:space="preserve">En todos aquellos casos en los que se pretende adoptar una clasificación de la información como reservada, hay que considerar lo señalado por los artículos 5, 140 y 142 de la Ley Estatal y 5, 113 fracción III y 115 de la Ley General, que establecen que no puede clasificarse como información reservada la que corresponda a violaciones graves a derechos humanos, determinada por la instancia correspondiente o en proceso de investigación, los delitos de lessa humanidad y los actos de corrupción, entendiendo en este último aspecto que el Título Sexto del Código Penal del Estado de México establece los Delitos por Hechos de Corrupción, entre los cuales se encuentran los de incumplimiento, ejercicio indebido y abandono de funciones públicas; coalición; abuso de autoridad; uso ilícito de atribuciones y facultades; concusión; intimidación; ejercicio abusivo de funciones; tráfico de influencias; cohecho; peculado; enriquecimiento ilícito; delitos cometidos por servidores públicos de la procuración y administración de justicia. De ser el caso que la información que </w:t>
      </w:r>
      <w:r w:rsidRPr="002021B7">
        <w:rPr>
          <w:rFonts w:ascii="Palatino Linotype" w:hAnsi="Palatino Linotype"/>
        </w:rPr>
        <w:lastRenderedPageBreak/>
        <w:t>se pretende reservar corresponde a cualquiera de estos supuestos, no es posible clasificarla como reservada.</w:t>
      </w:r>
    </w:p>
    <w:p w:rsidR="000161B6" w:rsidRPr="00CC7D48" w:rsidRDefault="000161B6" w:rsidP="003E4DF1">
      <w:pPr>
        <w:pStyle w:val="Ttulo2"/>
        <w:numPr>
          <w:ilvl w:val="0"/>
          <w:numId w:val="3"/>
        </w:numPr>
        <w:rPr>
          <w:rFonts w:ascii="Palatino Linotype" w:hAnsi="Palatino Linotype"/>
          <w:b/>
          <w:color w:val="auto"/>
          <w:sz w:val="24"/>
        </w:rPr>
      </w:pPr>
      <w:bookmarkStart w:id="6" w:name="_Toc485891456"/>
      <w:bookmarkStart w:id="7" w:name="_Toc13235981"/>
      <w:r w:rsidRPr="00CC7D48">
        <w:rPr>
          <w:rFonts w:ascii="Palatino Linotype" w:hAnsi="Palatino Linotype"/>
          <w:b/>
          <w:color w:val="auto"/>
          <w:sz w:val="24"/>
        </w:rPr>
        <w:t>La intervención del Comité de Transparencia.</w:t>
      </w:r>
      <w:bookmarkEnd w:id="6"/>
      <w:bookmarkEnd w:id="7"/>
    </w:p>
    <w:p w:rsidR="000161B6" w:rsidRPr="0047457F" w:rsidRDefault="000161B6" w:rsidP="000161B6">
      <w:pPr>
        <w:pStyle w:val="Prrafodelista"/>
        <w:spacing w:line="360" w:lineRule="auto"/>
        <w:ind w:left="567"/>
        <w:jc w:val="both"/>
        <w:rPr>
          <w:rFonts w:ascii="Palatino Linotype" w:hAnsi="Palatino Linotype" w:cs="Arial"/>
          <w:b/>
          <w:color w:val="000000" w:themeColor="text1"/>
          <w:sz w:val="24"/>
          <w:szCs w:val="24"/>
        </w:rPr>
      </w:pPr>
    </w:p>
    <w:p w:rsidR="000161B6" w:rsidRPr="00CC7D48" w:rsidRDefault="000161B6" w:rsidP="003E4DF1">
      <w:pPr>
        <w:pStyle w:val="Ttulo3"/>
        <w:numPr>
          <w:ilvl w:val="0"/>
          <w:numId w:val="4"/>
        </w:numPr>
        <w:rPr>
          <w:rFonts w:ascii="Palatino Linotype" w:hAnsi="Palatino Linotype"/>
          <w:b/>
          <w:color w:val="auto"/>
        </w:rPr>
      </w:pPr>
      <w:bookmarkStart w:id="8" w:name="_Toc13235982"/>
      <w:r w:rsidRPr="00CC7D48">
        <w:rPr>
          <w:rFonts w:ascii="Palatino Linotype" w:hAnsi="Palatino Linotype"/>
          <w:b/>
          <w:color w:val="auto"/>
        </w:rPr>
        <w:t>Formalidades para emitir el acuerdo de clasificación.</w:t>
      </w:r>
      <w:bookmarkEnd w:id="8"/>
    </w:p>
    <w:p w:rsidR="000161B6" w:rsidRPr="0047457F" w:rsidRDefault="000161B6" w:rsidP="000161B6">
      <w:pPr>
        <w:pStyle w:val="Prrafodelista"/>
        <w:spacing w:line="360" w:lineRule="auto"/>
        <w:ind w:left="567"/>
        <w:jc w:val="both"/>
        <w:rPr>
          <w:rFonts w:ascii="Palatino Linotype" w:hAnsi="Palatino Linotype" w:cs="Arial"/>
          <w:b/>
          <w:color w:val="000000" w:themeColor="text1"/>
          <w:sz w:val="24"/>
          <w:szCs w:val="24"/>
        </w:rPr>
      </w:pPr>
    </w:p>
    <w:p w:rsidR="000161B6" w:rsidRPr="002021B7" w:rsidRDefault="000161B6" w:rsidP="003E4DF1">
      <w:pPr>
        <w:pStyle w:val="Prrafodelista"/>
        <w:numPr>
          <w:ilvl w:val="0"/>
          <w:numId w:val="1"/>
        </w:numPr>
        <w:spacing w:line="360" w:lineRule="auto"/>
        <w:ind w:left="426"/>
        <w:jc w:val="both"/>
        <w:rPr>
          <w:rFonts w:ascii="Palatino Linotype" w:eastAsia="Times New Roman" w:hAnsi="Palatino Linotype" w:cs="Times New Roman"/>
          <w:sz w:val="24"/>
          <w:szCs w:val="24"/>
          <w:lang w:val="es-ES_tradnl" w:eastAsia="es-ES_tradnl"/>
        </w:rPr>
      </w:pPr>
      <w:r w:rsidRPr="002021B7">
        <w:rPr>
          <w:rFonts w:ascii="Palatino Linotype" w:hAnsi="Palatino Linotype" w:cs="Arial"/>
          <w:color w:val="000000" w:themeColor="text1"/>
          <w:sz w:val="24"/>
          <w:szCs w:val="24"/>
        </w:rPr>
        <w:t xml:space="preserve">El Comité de Transparencia, según lo dispuesto en los artículos 128 y 103 de la Ley Estatal y de la Ley General, respectivamente, y </w:t>
      </w:r>
      <w:r w:rsidRPr="002021B7">
        <w:rPr>
          <w:rFonts w:ascii="Palatino Linotype" w:hAnsi="Palatino Linotype"/>
          <w:sz w:val="24"/>
          <w:szCs w:val="24"/>
        </w:rPr>
        <w:t xml:space="preserve">la fracción III del numeral Segundo de los </w:t>
      </w:r>
      <w:r w:rsidRPr="002021B7">
        <w:rPr>
          <w:rFonts w:ascii="Palatino Linotype" w:hAnsi="Palatino Linotype" w:cs="Arial"/>
          <w:color w:val="000000" w:themeColor="text1"/>
          <w:sz w:val="24"/>
          <w:szCs w:val="24"/>
        </w:rPr>
        <w:t>Lineamientos generales en materia de clasificación y desclasificación de la información, así como para la elaboración de versiones públicas, en adelante los Lineamientos Generales,</w:t>
      </w:r>
      <w:r w:rsidRPr="002021B7">
        <w:rPr>
          <w:rFonts w:ascii="Palatino Linotype" w:hAnsi="Palatino Linotype"/>
          <w:sz w:val="24"/>
          <w:szCs w:val="24"/>
        </w:rPr>
        <w:t xml:space="preserve"> </w:t>
      </w:r>
      <w:r w:rsidRPr="002021B7">
        <w:rPr>
          <w:rFonts w:ascii="Palatino Linotype" w:hAnsi="Palatino Linotype" w:cs="Arial"/>
          <w:color w:val="000000" w:themeColor="text1"/>
          <w:sz w:val="24"/>
          <w:szCs w:val="24"/>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0161B6" w:rsidRPr="002021B7" w:rsidRDefault="000161B6" w:rsidP="000161B6">
      <w:pPr>
        <w:pStyle w:val="Prrafodelista"/>
        <w:spacing w:line="360" w:lineRule="auto"/>
        <w:ind w:left="426"/>
        <w:jc w:val="both"/>
        <w:rPr>
          <w:rFonts w:ascii="Palatino Linotype" w:hAnsi="Palatino Linotype" w:cs="Arial"/>
          <w:color w:val="000000" w:themeColor="text1"/>
          <w:sz w:val="24"/>
          <w:szCs w:val="24"/>
        </w:rPr>
      </w:pPr>
    </w:p>
    <w:p w:rsidR="000161B6" w:rsidRPr="002021B7" w:rsidRDefault="000161B6" w:rsidP="003E4DF1">
      <w:pPr>
        <w:pStyle w:val="Prrafodelista"/>
        <w:numPr>
          <w:ilvl w:val="0"/>
          <w:numId w:val="1"/>
        </w:numPr>
        <w:spacing w:line="360" w:lineRule="auto"/>
        <w:ind w:left="426"/>
        <w:jc w:val="both"/>
        <w:rPr>
          <w:rFonts w:ascii="Palatino Linotype" w:hAnsi="Palatino Linotype" w:cs="Arial"/>
          <w:color w:val="000000" w:themeColor="text1"/>
          <w:sz w:val="24"/>
          <w:szCs w:val="24"/>
        </w:rPr>
      </w:pPr>
      <w:r w:rsidRPr="002021B7">
        <w:rPr>
          <w:rFonts w:ascii="Palatino Linotype" w:hAnsi="Palatino Linotype" w:cs="Arial"/>
          <w:color w:val="000000" w:themeColor="text1"/>
          <w:sz w:val="24"/>
          <w:szCs w:val="24"/>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w:t>
      </w:r>
      <w:r w:rsidRPr="002021B7">
        <w:rPr>
          <w:rFonts w:ascii="Palatino Linotype" w:hAnsi="Palatino Linotype" w:cs="Arial"/>
          <w:color w:val="000000" w:themeColor="text1"/>
          <w:sz w:val="24"/>
          <w:szCs w:val="24"/>
        </w:rPr>
        <w:lastRenderedPageBreak/>
        <w:t>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0161B6" w:rsidRPr="002021B7" w:rsidRDefault="000161B6" w:rsidP="000161B6">
      <w:pPr>
        <w:spacing w:line="360" w:lineRule="auto"/>
        <w:ind w:left="426"/>
        <w:jc w:val="both"/>
        <w:rPr>
          <w:rFonts w:ascii="Palatino Linotype" w:hAnsi="Palatino Linotype"/>
          <w:sz w:val="24"/>
          <w:szCs w:val="24"/>
        </w:rPr>
      </w:pPr>
    </w:p>
    <w:p w:rsidR="000161B6" w:rsidRPr="002021B7" w:rsidRDefault="000161B6" w:rsidP="003E4DF1">
      <w:pPr>
        <w:pStyle w:val="Prrafodelista"/>
        <w:numPr>
          <w:ilvl w:val="0"/>
          <w:numId w:val="1"/>
        </w:numPr>
        <w:spacing w:line="360" w:lineRule="auto"/>
        <w:ind w:left="426"/>
        <w:jc w:val="both"/>
        <w:rPr>
          <w:rFonts w:ascii="Palatino Linotype" w:hAnsi="Palatino Linotype"/>
          <w:sz w:val="24"/>
          <w:szCs w:val="24"/>
        </w:rPr>
      </w:pPr>
      <w:r w:rsidRPr="002021B7">
        <w:rPr>
          <w:rFonts w:ascii="Palatino Linotype" w:hAnsi="Palatino Linotype"/>
          <w:sz w:val="24"/>
          <w:szCs w:val="24"/>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0161B6" w:rsidRPr="00CC7D48" w:rsidRDefault="000161B6" w:rsidP="003E4DF1">
      <w:pPr>
        <w:pStyle w:val="Ttulo2"/>
        <w:numPr>
          <w:ilvl w:val="0"/>
          <w:numId w:val="3"/>
        </w:numPr>
        <w:rPr>
          <w:rFonts w:ascii="Palatino Linotype" w:hAnsi="Palatino Linotype"/>
          <w:b/>
          <w:color w:val="auto"/>
          <w:sz w:val="24"/>
          <w:szCs w:val="24"/>
        </w:rPr>
      </w:pPr>
      <w:bookmarkStart w:id="9" w:name="_Toc485891457"/>
      <w:bookmarkStart w:id="10" w:name="_Toc13235983"/>
      <w:r w:rsidRPr="00CC7D48">
        <w:rPr>
          <w:rFonts w:ascii="Palatino Linotype" w:hAnsi="Palatino Linotype"/>
          <w:b/>
          <w:color w:val="auto"/>
          <w:sz w:val="24"/>
          <w:szCs w:val="24"/>
        </w:rPr>
        <w:t>Condiciones especiales de la clasificación de la información como reservada</w:t>
      </w:r>
      <w:bookmarkEnd w:id="9"/>
      <w:bookmarkEnd w:id="10"/>
      <w:r w:rsidRPr="00CC7D48">
        <w:rPr>
          <w:rFonts w:ascii="Palatino Linotype" w:hAnsi="Palatino Linotype"/>
          <w:b/>
          <w:color w:val="auto"/>
          <w:sz w:val="24"/>
          <w:szCs w:val="24"/>
        </w:rPr>
        <w:t xml:space="preserve"> </w:t>
      </w:r>
    </w:p>
    <w:p w:rsidR="000161B6" w:rsidRPr="002021B7" w:rsidRDefault="000161B6" w:rsidP="000161B6">
      <w:pPr>
        <w:pStyle w:val="Prrafodelista"/>
        <w:spacing w:line="360" w:lineRule="auto"/>
        <w:ind w:left="1428"/>
        <w:jc w:val="both"/>
        <w:rPr>
          <w:rFonts w:ascii="Palatino Linotype" w:hAnsi="Palatino Linotype" w:cs="Arial"/>
          <w:b/>
          <w:color w:val="000000" w:themeColor="text1"/>
          <w:sz w:val="24"/>
          <w:szCs w:val="24"/>
        </w:rPr>
      </w:pPr>
    </w:p>
    <w:p w:rsidR="000161B6" w:rsidRPr="00CC7D48" w:rsidRDefault="000161B6" w:rsidP="003E4DF1">
      <w:pPr>
        <w:pStyle w:val="Ttulo3"/>
        <w:numPr>
          <w:ilvl w:val="0"/>
          <w:numId w:val="5"/>
        </w:numPr>
        <w:rPr>
          <w:rFonts w:ascii="Palatino Linotype" w:hAnsi="Palatino Linotype"/>
          <w:b/>
          <w:color w:val="auto"/>
        </w:rPr>
      </w:pPr>
      <w:bookmarkStart w:id="11" w:name="_Toc13235984"/>
      <w:r w:rsidRPr="00CC7D48">
        <w:rPr>
          <w:rFonts w:ascii="Palatino Linotype" w:hAnsi="Palatino Linotype"/>
          <w:b/>
          <w:color w:val="auto"/>
        </w:rPr>
        <w:t>La fundamentación específica</w:t>
      </w:r>
      <w:bookmarkEnd w:id="11"/>
    </w:p>
    <w:p w:rsidR="000161B6" w:rsidRPr="002021B7" w:rsidRDefault="000161B6" w:rsidP="000161B6">
      <w:pPr>
        <w:pStyle w:val="Prrafodelista"/>
        <w:spacing w:line="360" w:lineRule="auto"/>
        <w:ind w:left="360"/>
        <w:jc w:val="both"/>
        <w:rPr>
          <w:rFonts w:ascii="Palatino Linotype" w:hAnsi="Palatino Linotype" w:cs="Arial"/>
          <w:color w:val="000000" w:themeColor="text1"/>
          <w:sz w:val="24"/>
          <w:szCs w:val="24"/>
        </w:rPr>
      </w:pPr>
    </w:p>
    <w:p w:rsidR="000161B6" w:rsidRPr="002021B7" w:rsidRDefault="000161B6" w:rsidP="003E4DF1">
      <w:pPr>
        <w:pStyle w:val="Prrafodelista"/>
        <w:numPr>
          <w:ilvl w:val="0"/>
          <w:numId w:val="1"/>
        </w:numPr>
        <w:spacing w:line="360" w:lineRule="auto"/>
        <w:ind w:left="426"/>
        <w:jc w:val="both"/>
        <w:rPr>
          <w:rFonts w:ascii="Palatino Linotype" w:hAnsi="Palatino Linotype" w:cs="Arial"/>
          <w:color w:val="000000" w:themeColor="text1"/>
          <w:sz w:val="24"/>
          <w:szCs w:val="24"/>
        </w:rPr>
      </w:pPr>
      <w:r w:rsidRPr="002021B7">
        <w:rPr>
          <w:rFonts w:ascii="Palatino Linotype" w:hAnsi="Palatino Linotype" w:cs="Arial"/>
          <w:color w:val="000000" w:themeColor="text1"/>
          <w:sz w:val="24"/>
          <w:szCs w:val="24"/>
        </w:rPr>
        <w:t xml:space="preserve">Más aún, los artículos 128 segundo párrafo y 103 segundo párrafo de las leyes estatal y general, respectivamente, señalan que, en el caso de la información reservada, se debe de señalar las razones, motivos o circunstancias especiales </w:t>
      </w:r>
      <w:r w:rsidRPr="002021B7">
        <w:rPr>
          <w:rFonts w:ascii="Palatino Linotype" w:hAnsi="Palatino Linotype" w:cs="Arial"/>
          <w:color w:val="000000" w:themeColor="text1"/>
          <w:sz w:val="24"/>
          <w:szCs w:val="24"/>
        </w:rPr>
        <w:lastRenderedPageBreak/>
        <w:t>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autorreferencial en el que primero se dice algo, después se dice lo mismo y al final exactamente lo mismo, cambiando sólo el orden de las palabras.</w:t>
      </w:r>
    </w:p>
    <w:p w:rsidR="000161B6" w:rsidRDefault="000161B6" w:rsidP="003E4DF1">
      <w:pPr>
        <w:pStyle w:val="Ttulo3"/>
        <w:numPr>
          <w:ilvl w:val="0"/>
          <w:numId w:val="5"/>
        </w:numPr>
        <w:rPr>
          <w:rFonts w:ascii="Palatino Linotype" w:hAnsi="Palatino Linotype"/>
          <w:b/>
          <w:color w:val="auto"/>
        </w:rPr>
      </w:pPr>
      <w:bookmarkStart w:id="12" w:name="_Toc13235985"/>
      <w:r w:rsidRPr="00CC7D48">
        <w:rPr>
          <w:rFonts w:ascii="Palatino Linotype" w:hAnsi="Palatino Linotype"/>
          <w:b/>
          <w:color w:val="auto"/>
        </w:rPr>
        <w:t>La prueba de daño</w:t>
      </w:r>
      <w:bookmarkEnd w:id="12"/>
    </w:p>
    <w:p w:rsidR="00AF7BC9" w:rsidRPr="00AF7BC9" w:rsidRDefault="00AF7BC9" w:rsidP="00AF7BC9"/>
    <w:p w:rsidR="000161B6" w:rsidRPr="0020553F" w:rsidRDefault="000161B6" w:rsidP="003E4DF1">
      <w:pPr>
        <w:pStyle w:val="Prrafodelista"/>
        <w:numPr>
          <w:ilvl w:val="0"/>
          <w:numId w:val="1"/>
        </w:numPr>
        <w:spacing w:line="360" w:lineRule="auto"/>
        <w:ind w:left="426"/>
        <w:jc w:val="both"/>
        <w:rPr>
          <w:rFonts w:ascii="Palatino Linotype" w:hAnsi="Palatino Linotype"/>
          <w:szCs w:val="24"/>
        </w:rPr>
      </w:pPr>
      <w:r w:rsidRPr="0020553F">
        <w:rPr>
          <w:rFonts w:ascii="Palatino Linotype" w:hAnsi="Palatino Linotype"/>
          <w:szCs w:val="24"/>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0161B6" w:rsidRPr="0020553F" w:rsidRDefault="000161B6" w:rsidP="000161B6">
      <w:pPr>
        <w:pStyle w:val="Prrafodelista"/>
        <w:spacing w:line="360" w:lineRule="auto"/>
        <w:ind w:left="426"/>
        <w:jc w:val="both"/>
        <w:rPr>
          <w:rFonts w:ascii="Palatino Linotype" w:hAnsi="Palatino Linotype"/>
          <w:szCs w:val="24"/>
        </w:rPr>
      </w:pPr>
    </w:p>
    <w:p w:rsidR="000161B6" w:rsidRPr="0020553F" w:rsidRDefault="000161B6" w:rsidP="003E4DF1">
      <w:pPr>
        <w:pStyle w:val="Prrafodelista"/>
        <w:numPr>
          <w:ilvl w:val="0"/>
          <w:numId w:val="1"/>
        </w:numPr>
        <w:spacing w:line="360" w:lineRule="auto"/>
        <w:ind w:left="426"/>
        <w:jc w:val="both"/>
        <w:rPr>
          <w:rFonts w:ascii="Palatino Linotype" w:hAnsi="Palatino Linotype"/>
          <w:szCs w:val="24"/>
        </w:rPr>
      </w:pPr>
      <w:r w:rsidRPr="0020553F">
        <w:rPr>
          <w:rFonts w:ascii="Palatino Linotype" w:hAnsi="Palatino Linotype"/>
          <w:szCs w:val="24"/>
        </w:rPr>
        <w:t>Para aplicar la prueba de daño, se deberán de precisar la razones objetivas por las que la apertura genera una afectación, acreditando que:</w:t>
      </w:r>
    </w:p>
    <w:p w:rsidR="000161B6" w:rsidRPr="0020553F" w:rsidRDefault="000161B6" w:rsidP="000161B6">
      <w:pPr>
        <w:widowControl w:val="0"/>
        <w:autoSpaceDE w:val="0"/>
        <w:autoSpaceDN w:val="0"/>
        <w:adjustRightInd w:val="0"/>
        <w:spacing w:after="240" w:line="360" w:lineRule="auto"/>
        <w:ind w:left="709" w:right="333" w:hanging="283"/>
        <w:jc w:val="both"/>
        <w:rPr>
          <w:rFonts w:ascii="Palatino Linotype" w:hAnsi="Palatino Linotype" w:cs="Times"/>
          <w:color w:val="000000"/>
          <w:szCs w:val="24"/>
          <w:lang w:val="es-ES_tradnl"/>
        </w:rPr>
      </w:pPr>
      <w:r w:rsidRPr="0020553F">
        <w:rPr>
          <w:rFonts w:ascii="Palatino Linotype" w:hAnsi="Palatino Linotype" w:cs="Bookman Old Style"/>
          <w:bCs/>
          <w:color w:val="000000"/>
          <w:szCs w:val="24"/>
          <w:lang w:val="es-ES_tradnl"/>
        </w:rPr>
        <w:lastRenderedPageBreak/>
        <w:t xml:space="preserve">I. </w:t>
      </w:r>
      <w:r w:rsidRPr="0020553F">
        <w:rPr>
          <w:rFonts w:ascii="Palatino Linotype" w:hAnsi="Palatino Linotype" w:cs="Bookman Old Style"/>
          <w:color w:val="000000"/>
          <w:szCs w:val="24"/>
          <w:lang w:val="es-ES_tradnl"/>
        </w:rPr>
        <w:t xml:space="preserve">La divulgación de la información representa un riesgo real, demostrable e identificable del perjuicio significativo al interés público o a la seguridad pública; </w:t>
      </w:r>
    </w:p>
    <w:p w:rsidR="000161B6" w:rsidRPr="0020553F" w:rsidRDefault="000161B6" w:rsidP="000161B6">
      <w:pPr>
        <w:widowControl w:val="0"/>
        <w:autoSpaceDE w:val="0"/>
        <w:autoSpaceDN w:val="0"/>
        <w:adjustRightInd w:val="0"/>
        <w:spacing w:after="240" w:line="360" w:lineRule="auto"/>
        <w:ind w:left="709" w:right="333" w:hanging="283"/>
        <w:jc w:val="both"/>
        <w:rPr>
          <w:rFonts w:ascii="Palatino Linotype" w:hAnsi="Palatino Linotype" w:cs="Times"/>
          <w:color w:val="000000"/>
          <w:szCs w:val="24"/>
          <w:lang w:val="es-ES_tradnl"/>
        </w:rPr>
      </w:pPr>
      <w:r w:rsidRPr="0020553F">
        <w:rPr>
          <w:rFonts w:ascii="Palatino Linotype" w:hAnsi="Palatino Linotype" w:cs="Bookman Old Style"/>
          <w:bCs/>
          <w:color w:val="000000"/>
          <w:szCs w:val="24"/>
          <w:lang w:val="es-ES_tradnl"/>
        </w:rPr>
        <w:t xml:space="preserve">II. </w:t>
      </w:r>
      <w:r w:rsidRPr="0020553F">
        <w:rPr>
          <w:rFonts w:ascii="Palatino Linotype" w:hAnsi="Palatino Linotype" w:cs="Bookman Old Style"/>
          <w:color w:val="000000"/>
          <w:szCs w:val="24"/>
          <w:lang w:val="es-ES_tradnl"/>
        </w:rPr>
        <w:t xml:space="preserve">El riesgo de perjuicio que supondría la divulgación supera el interés público general de que se difunda; y </w:t>
      </w:r>
    </w:p>
    <w:p w:rsidR="000161B6" w:rsidRPr="0020553F" w:rsidRDefault="000161B6" w:rsidP="000161B6">
      <w:pPr>
        <w:widowControl w:val="0"/>
        <w:autoSpaceDE w:val="0"/>
        <w:autoSpaceDN w:val="0"/>
        <w:adjustRightInd w:val="0"/>
        <w:spacing w:after="240" w:line="360" w:lineRule="auto"/>
        <w:ind w:left="709" w:right="333" w:hanging="283"/>
        <w:jc w:val="both"/>
        <w:rPr>
          <w:rFonts w:ascii="Palatino Linotype" w:hAnsi="Palatino Linotype" w:cs="Times"/>
          <w:color w:val="000000"/>
          <w:szCs w:val="24"/>
          <w:lang w:val="es-ES_tradnl"/>
        </w:rPr>
      </w:pPr>
      <w:r w:rsidRPr="0020553F">
        <w:rPr>
          <w:rFonts w:ascii="Palatino Linotype" w:hAnsi="Palatino Linotype" w:cs="Bookman Old Style"/>
          <w:bCs/>
          <w:color w:val="000000"/>
          <w:szCs w:val="24"/>
          <w:lang w:val="es-ES_tradnl"/>
        </w:rPr>
        <w:t xml:space="preserve">III. </w:t>
      </w:r>
      <w:r w:rsidRPr="0020553F">
        <w:rPr>
          <w:rFonts w:ascii="Palatino Linotype" w:hAnsi="Palatino Linotype" w:cs="Bookman Old Style"/>
          <w:color w:val="000000"/>
          <w:szCs w:val="24"/>
          <w:lang w:val="es-ES_tradnl"/>
        </w:rPr>
        <w:t xml:space="preserve">La limitación se adecua al principio de proporcionalidad y representa el medio menos restrictivo disponible para evitar el perjuicio. </w:t>
      </w:r>
    </w:p>
    <w:p w:rsidR="000161B6" w:rsidRPr="0020553F" w:rsidRDefault="000161B6" w:rsidP="003E4DF1">
      <w:pPr>
        <w:pStyle w:val="j"/>
        <w:numPr>
          <w:ilvl w:val="0"/>
          <w:numId w:val="1"/>
        </w:numPr>
        <w:shd w:val="clear" w:color="auto" w:fill="FFFFFF"/>
        <w:suppressAutoHyphens/>
        <w:spacing w:line="360" w:lineRule="auto"/>
        <w:ind w:left="426" w:hanging="357"/>
        <w:jc w:val="both"/>
        <w:textAlignment w:val="baseline"/>
        <w:rPr>
          <w:rFonts w:ascii="Palatino Linotype" w:hAnsi="Palatino Linotype"/>
          <w:sz w:val="22"/>
        </w:rPr>
      </w:pPr>
      <w:r w:rsidRPr="0020553F">
        <w:rPr>
          <w:rFonts w:ascii="Palatino Linotype" w:hAnsi="Palatino Linotype"/>
          <w:sz w:val="22"/>
        </w:rPr>
        <w:t>Sobre el primer supuesto consideremos que según el diccionario del español jurídico, por riesgo podemos entender “la contingencia o proximidad de un daño”,</w:t>
      </w:r>
      <w:r w:rsidRPr="0020553F">
        <w:rPr>
          <w:rStyle w:val="Refdenotaalpie"/>
          <w:rFonts w:ascii="Palatino Linotype" w:hAnsi="Palatino Linotype"/>
          <w:sz w:val="22"/>
        </w:rPr>
        <w:footnoteReference w:id="4"/>
      </w:r>
      <w:r w:rsidRPr="0020553F">
        <w:rPr>
          <w:rFonts w:ascii="Palatino Linotype" w:hAnsi="Palatino Linotype"/>
          <w:sz w:val="22"/>
        </w:rPr>
        <w:t xml:space="preserve"> mientras que el daño es considerado como un “perjuicio o lesión”</w:t>
      </w:r>
      <w:r w:rsidRPr="0020553F">
        <w:rPr>
          <w:rStyle w:val="Refdenotaalpie"/>
          <w:rFonts w:ascii="Palatino Linotype" w:hAnsi="Palatino Linotype"/>
          <w:sz w:val="22"/>
        </w:rPr>
        <w:footnoteReference w:id="5"/>
      </w:r>
      <w:r w:rsidRPr="0020553F">
        <w:rPr>
          <w:rFonts w:ascii="Palatino Linotype" w:hAnsi="Palatino Linotype"/>
          <w:sz w:val="22"/>
        </w:rPr>
        <w:t>, mientras que según el Diccionario de la Lengua Española, lo real es</w:t>
      </w:r>
      <w:r w:rsidRPr="0020553F">
        <w:rPr>
          <w:rFonts w:ascii="Palatino Linotype" w:eastAsia="Arial Unicode MS" w:hAnsi="Palatino Linotype" w:cs="Arial Unicode MS"/>
          <w:color w:val="000000"/>
          <w:spacing w:val="4"/>
          <w:sz w:val="22"/>
          <w:shd w:val="clear" w:color="auto" w:fill="FFFFFF"/>
        </w:rPr>
        <w:t> lo “</w:t>
      </w:r>
      <w:r w:rsidRPr="0020553F">
        <w:rPr>
          <w:rFonts w:ascii="Palatino Linotype" w:eastAsia="Times New Roman" w:hAnsi="Palatino Linotype"/>
          <w:sz w:val="22"/>
        </w:rPr>
        <w:t>(q)ue</w:t>
      </w:r>
      <w:r w:rsidRPr="0020553F">
        <w:rPr>
          <w:rFonts w:ascii="Palatino Linotype" w:eastAsia="Arial Unicode MS" w:hAnsi="Palatino Linotype" w:cs="Arial Unicode MS"/>
          <w:color w:val="000000"/>
          <w:spacing w:val="4"/>
          <w:sz w:val="22"/>
          <w:shd w:val="clear" w:color="auto" w:fill="FFFFFF"/>
        </w:rPr>
        <w:t> </w:t>
      </w:r>
      <w:r w:rsidRPr="0020553F">
        <w:rPr>
          <w:rFonts w:ascii="Palatino Linotype" w:eastAsia="Times New Roman" w:hAnsi="Palatino Linotype"/>
          <w:sz w:val="22"/>
        </w:rPr>
        <w:t>tiene</w:t>
      </w:r>
      <w:r w:rsidRPr="0020553F">
        <w:rPr>
          <w:rFonts w:ascii="Palatino Linotype" w:eastAsia="Arial Unicode MS" w:hAnsi="Palatino Linotype" w:cs="Arial Unicode MS"/>
          <w:color w:val="000000"/>
          <w:spacing w:val="4"/>
          <w:sz w:val="22"/>
          <w:shd w:val="clear" w:color="auto" w:fill="FFFFFF"/>
        </w:rPr>
        <w:t> </w:t>
      </w:r>
      <w:r w:rsidRPr="0020553F">
        <w:rPr>
          <w:rFonts w:ascii="Palatino Linotype" w:eastAsia="Times New Roman" w:hAnsi="Palatino Linotype"/>
          <w:sz w:val="22"/>
        </w:rPr>
        <w:t>existencia</w:t>
      </w:r>
      <w:r w:rsidRPr="0020553F">
        <w:rPr>
          <w:rFonts w:ascii="Palatino Linotype" w:eastAsia="Arial Unicode MS" w:hAnsi="Palatino Linotype" w:cs="Arial Unicode MS"/>
          <w:color w:val="000000"/>
          <w:spacing w:val="4"/>
          <w:sz w:val="22"/>
          <w:shd w:val="clear" w:color="auto" w:fill="FFFFFF"/>
        </w:rPr>
        <w:t> </w:t>
      </w:r>
      <w:r w:rsidRPr="0020553F">
        <w:rPr>
          <w:rFonts w:ascii="Palatino Linotype" w:eastAsia="Times New Roman" w:hAnsi="Palatino Linotype"/>
          <w:sz w:val="22"/>
        </w:rPr>
        <w:t>objetiva”,</w:t>
      </w:r>
      <w:r w:rsidRPr="0020553F">
        <w:rPr>
          <w:rStyle w:val="Refdenotaalpie"/>
          <w:rFonts w:ascii="Palatino Linotype" w:eastAsia="Times New Roman" w:hAnsi="Palatino Linotype"/>
          <w:sz w:val="22"/>
        </w:rPr>
        <w:footnoteReference w:id="6"/>
      </w:r>
      <w:r w:rsidRPr="0020553F">
        <w:rPr>
          <w:rFonts w:ascii="Palatino Linotype" w:eastAsia="Times New Roman" w:hAnsi="Palatino Linotype"/>
          <w:sz w:val="22"/>
        </w:rPr>
        <w:t xml:space="preserve"> </w:t>
      </w:r>
      <w:r w:rsidRPr="0020553F">
        <w:rPr>
          <w:rFonts w:ascii="Palatino Linotype" w:eastAsia="Arial Unicode MS" w:hAnsi="Palatino Linotype" w:cs="Arial Unicode MS"/>
          <w:color w:val="000000"/>
          <w:spacing w:val="4"/>
          <w:sz w:val="22"/>
          <w:shd w:val="clear" w:color="auto" w:fill="FFFFFF"/>
        </w:rPr>
        <w:t>mientras que lo demostrables es, según la misma fuente, aquello que se puede demostrar,</w:t>
      </w:r>
      <w:r w:rsidRPr="0020553F">
        <w:rPr>
          <w:rStyle w:val="Refdenotaalpie"/>
          <w:rFonts w:ascii="Palatino Linotype" w:eastAsia="Arial Unicode MS" w:hAnsi="Palatino Linotype" w:cs="Arial Unicode MS"/>
          <w:color w:val="000000"/>
          <w:spacing w:val="4"/>
          <w:sz w:val="22"/>
          <w:shd w:val="clear" w:color="auto" w:fill="FFFFFF"/>
        </w:rPr>
        <w:footnoteReference w:id="7"/>
      </w:r>
      <w:r w:rsidRPr="0020553F">
        <w:rPr>
          <w:rFonts w:ascii="Palatino Linotype" w:eastAsia="Arial Unicode MS" w:hAnsi="Palatino Linotype" w:cs="Arial Unicode MS"/>
          <w:color w:val="000000"/>
          <w:spacing w:val="4"/>
          <w:sz w:val="22"/>
          <w:shd w:val="clear" w:color="auto" w:fill="FFFFFF"/>
        </w:rPr>
        <w:t xml:space="preserve"> es decir, </w:t>
      </w:r>
      <w:r w:rsidRPr="0020553F">
        <w:rPr>
          <w:rFonts w:ascii="Palatino Linotype" w:hAnsi="Palatino Linotype" w:cstheme="minorBidi"/>
          <w:sz w:val="22"/>
          <w:lang w:val="es-MX" w:eastAsia="en-US"/>
        </w:rPr>
        <w:t>“(m)anifestar, declarar. Probar, sirviéndose de cualquier género de demostración, </w:t>
      </w:r>
      <w:hyperlink r:id="rId8" w:anchor="6nAyKjE" w:history="1">
        <w:r w:rsidRPr="0020553F">
          <w:rPr>
            <w:rFonts w:ascii="Palatino Linotype" w:hAnsi="Palatino Linotype" w:cstheme="minorBidi"/>
            <w:sz w:val="22"/>
            <w:lang w:val="es-MX" w:eastAsia="en-US"/>
          </w:rPr>
          <w:t>enseñar</w:t>
        </w:r>
      </w:hyperlink>
      <w:r w:rsidRPr="0020553F">
        <w:rPr>
          <w:rFonts w:ascii="Palatino Linotype" w:hAnsi="Palatino Linotype" w:cstheme="minorBidi"/>
          <w:sz w:val="22"/>
          <w:lang w:val="es-MX" w:eastAsia="en-US"/>
        </w:rPr>
        <w:t> mostrar o exponer algo)”.</w:t>
      </w:r>
      <w:r w:rsidRPr="0020553F">
        <w:rPr>
          <w:rStyle w:val="Refdenotaalpie"/>
          <w:rFonts w:ascii="Palatino Linotype" w:hAnsi="Palatino Linotype" w:cstheme="minorBidi"/>
          <w:sz w:val="22"/>
          <w:lang w:val="es-MX" w:eastAsia="en-US"/>
        </w:rPr>
        <w:footnoteReference w:id="8"/>
      </w:r>
      <w:r w:rsidRPr="0020553F">
        <w:rPr>
          <w:rFonts w:ascii="Palatino Linotype" w:hAnsi="Palatino Linotype" w:cstheme="minorBidi"/>
          <w:sz w:val="22"/>
          <w:lang w:val="es-MX" w:eastAsia="en-US"/>
        </w:rPr>
        <w:t xml:space="preserve"> Mientras que lo identificable es lo que puede ser identificado,</w:t>
      </w:r>
      <w:r w:rsidRPr="0020553F">
        <w:rPr>
          <w:rStyle w:val="Refdenotaalpie"/>
          <w:rFonts w:ascii="Palatino Linotype" w:hAnsi="Palatino Linotype" w:cstheme="minorBidi"/>
          <w:sz w:val="22"/>
          <w:lang w:val="es-MX" w:eastAsia="en-US"/>
        </w:rPr>
        <w:footnoteReference w:id="9"/>
      </w:r>
      <w:r w:rsidRPr="0020553F">
        <w:rPr>
          <w:rFonts w:ascii="Palatino Linotype" w:hAnsi="Palatino Linotype" w:cstheme="minorBidi"/>
          <w:sz w:val="22"/>
          <w:lang w:val="es-MX" w:eastAsia="en-US"/>
        </w:rPr>
        <w:t xml:space="preserve"> esto es,</w:t>
      </w:r>
      <w:r w:rsidRPr="0020553F">
        <w:rPr>
          <w:rFonts w:ascii="Palatino Linotype" w:hAnsi="Palatino Linotype" w:cstheme="minorBidi"/>
          <w:sz w:val="22"/>
        </w:rPr>
        <w:t>  “(d)ar los datos necesarios para ser reconocido”.</w:t>
      </w:r>
      <w:r w:rsidRPr="0020553F">
        <w:rPr>
          <w:rStyle w:val="Refdenotaalpie"/>
          <w:rFonts w:ascii="Palatino Linotype" w:hAnsi="Palatino Linotype" w:cstheme="minorBidi"/>
          <w:sz w:val="22"/>
        </w:rPr>
        <w:footnoteReference w:id="10"/>
      </w:r>
    </w:p>
    <w:p w:rsidR="000161B6" w:rsidRPr="0020553F" w:rsidRDefault="000161B6" w:rsidP="000161B6">
      <w:pPr>
        <w:pStyle w:val="Prrafodelista"/>
        <w:spacing w:line="360" w:lineRule="auto"/>
        <w:ind w:left="426"/>
        <w:jc w:val="both"/>
        <w:rPr>
          <w:rFonts w:ascii="Palatino Linotype" w:hAnsi="Palatino Linotype"/>
          <w:szCs w:val="24"/>
        </w:rPr>
      </w:pPr>
    </w:p>
    <w:p w:rsidR="000161B6" w:rsidRPr="0020553F" w:rsidRDefault="000161B6" w:rsidP="003E4DF1">
      <w:pPr>
        <w:pStyle w:val="Prrafodelista"/>
        <w:numPr>
          <w:ilvl w:val="0"/>
          <w:numId w:val="1"/>
        </w:numPr>
        <w:spacing w:line="360" w:lineRule="auto"/>
        <w:ind w:left="426"/>
        <w:jc w:val="both"/>
        <w:rPr>
          <w:rFonts w:ascii="Palatino Linotype" w:hAnsi="Palatino Linotype"/>
          <w:szCs w:val="24"/>
        </w:rPr>
      </w:pPr>
      <w:r w:rsidRPr="0020553F">
        <w:rPr>
          <w:rFonts w:ascii="Palatino Linotype" w:hAnsi="Palatino Linotype"/>
          <w:szCs w:val="24"/>
        </w:rPr>
        <w:lastRenderedPageBreak/>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CC7D48" w:rsidRPr="0020553F" w:rsidRDefault="00CC7D48" w:rsidP="00CC7D48">
      <w:pPr>
        <w:pStyle w:val="Prrafodelista"/>
        <w:rPr>
          <w:rFonts w:ascii="Palatino Linotype" w:hAnsi="Palatino Linotype"/>
          <w:szCs w:val="24"/>
        </w:rPr>
      </w:pPr>
    </w:p>
    <w:p w:rsidR="000161B6" w:rsidRPr="0020553F" w:rsidRDefault="000161B6" w:rsidP="003E4DF1">
      <w:pPr>
        <w:pStyle w:val="Prrafodelista"/>
        <w:numPr>
          <w:ilvl w:val="0"/>
          <w:numId w:val="1"/>
        </w:numPr>
        <w:spacing w:line="360" w:lineRule="auto"/>
        <w:ind w:left="426"/>
        <w:jc w:val="both"/>
        <w:rPr>
          <w:rFonts w:ascii="Palatino Linotype" w:hAnsi="Palatino Linotype"/>
          <w:szCs w:val="24"/>
        </w:rPr>
      </w:pPr>
      <w:r w:rsidRPr="0020553F">
        <w:rPr>
          <w:rFonts w:ascii="Palatino Linotype" w:hAnsi="Palatino Linotype"/>
          <w:szCs w:val="24"/>
        </w:rPr>
        <w:t xml:space="preserve">Identificado ese riesgo, se debe demostrar que el mismo supera el interés público general porque se difunda dicha información. </w:t>
      </w:r>
    </w:p>
    <w:p w:rsidR="000161B6" w:rsidRPr="0020553F" w:rsidRDefault="000161B6" w:rsidP="000161B6">
      <w:pPr>
        <w:pStyle w:val="Prrafodelista"/>
        <w:spacing w:line="360" w:lineRule="auto"/>
        <w:ind w:left="426"/>
        <w:jc w:val="both"/>
        <w:rPr>
          <w:rFonts w:ascii="Palatino Linotype" w:hAnsi="Palatino Linotype"/>
          <w:szCs w:val="24"/>
        </w:rPr>
      </w:pPr>
    </w:p>
    <w:p w:rsidR="000161B6" w:rsidRPr="0020553F" w:rsidRDefault="000161B6" w:rsidP="003E4DF1">
      <w:pPr>
        <w:pStyle w:val="Prrafodelista"/>
        <w:numPr>
          <w:ilvl w:val="0"/>
          <w:numId w:val="1"/>
        </w:numPr>
        <w:spacing w:line="360" w:lineRule="auto"/>
        <w:ind w:left="426"/>
        <w:jc w:val="both"/>
        <w:rPr>
          <w:rFonts w:ascii="Palatino Linotype" w:hAnsi="Palatino Linotype"/>
          <w:szCs w:val="24"/>
        </w:rPr>
      </w:pPr>
      <w:r w:rsidRPr="0020553F">
        <w:rPr>
          <w:rFonts w:ascii="Palatino Linotype" w:hAnsi="Palatino Linotype"/>
          <w:szCs w:val="24"/>
        </w:rPr>
        <w:t>Y, por último,  que la limitación es acorde con el principio de proporcionalidad, para ello, se sugiere emplear los tres juicios propuestos por la Corte Constitucional Colombiana</w:t>
      </w:r>
      <w:r w:rsidRPr="0020553F">
        <w:rPr>
          <w:rStyle w:val="Refdenotaalpie"/>
          <w:rFonts w:ascii="Palatino Linotype" w:hAnsi="Palatino Linotype"/>
          <w:szCs w:val="24"/>
        </w:rPr>
        <w:footnoteReference w:id="11"/>
      </w:r>
      <w:r w:rsidRPr="0020553F">
        <w:rPr>
          <w:rFonts w:ascii="Palatino Linotype" w:hAnsi="Palatino Linotype"/>
          <w:szCs w:val="24"/>
        </w:rPr>
        <w:t xml:space="preserve">, siguiendo el principio de ponderación propuesto por el Tribunal </w:t>
      </w:r>
      <w:r w:rsidRPr="0020553F">
        <w:rPr>
          <w:rFonts w:ascii="Palatino Linotype" w:hAnsi="Palatino Linotype"/>
          <w:szCs w:val="24"/>
        </w:rPr>
        <w:lastRenderedPageBreak/>
        <w:t>Constitucional Alemán,</w:t>
      </w:r>
      <w:r w:rsidRPr="0020553F">
        <w:rPr>
          <w:rStyle w:val="Refdenotaalpie"/>
          <w:rFonts w:ascii="Palatino Linotype" w:hAnsi="Palatino Linotype"/>
          <w:szCs w:val="24"/>
        </w:rPr>
        <w:footnoteReference w:id="12"/>
      </w:r>
      <w:r w:rsidRPr="0020553F">
        <w:rPr>
          <w:rFonts w:ascii="Palatino Linotype" w:hAnsi="Palatino Linotype"/>
          <w:szCs w:val="24"/>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0161B6" w:rsidRPr="00C618BE" w:rsidRDefault="000161B6" w:rsidP="000161B6">
      <w:pPr>
        <w:pStyle w:val="Prrafodelista"/>
        <w:rPr>
          <w:rFonts w:ascii="Palatino Linotype" w:hAnsi="Palatino Linotype"/>
          <w:sz w:val="24"/>
          <w:szCs w:val="24"/>
        </w:rPr>
      </w:pPr>
    </w:p>
    <w:p w:rsidR="000161B6" w:rsidRPr="00C618BE" w:rsidRDefault="000161B6" w:rsidP="003E4DF1">
      <w:pPr>
        <w:pStyle w:val="Ttulo3"/>
        <w:numPr>
          <w:ilvl w:val="0"/>
          <w:numId w:val="5"/>
        </w:numPr>
        <w:rPr>
          <w:rFonts w:ascii="Palatino Linotype" w:hAnsi="Palatino Linotype"/>
          <w:b/>
          <w:color w:val="auto"/>
        </w:rPr>
      </w:pPr>
      <w:bookmarkStart w:id="13" w:name="_Toc13235986"/>
      <w:r w:rsidRPr="00C618BE">
        <w:rPr>
          <w:rFonts w:ascii="Palatino Linotype" w:hAnsi="Palatino Linotype"/>
          <w:b/>
          <w:color w:val="auto"/>
        </w:rPr>
        <w:t>La clasificación de la información reservada debe ser de manera temporal.</w:t>
      </w:r>
      <w:bookmarkEnd w:id="13"/>
    </w:p>
    <w:p w:rsidR="000161B6" w:rsidRPr="00C618BE" w:rsidRDefault="000161B6" w:rsidP="000161B6">
      <w:pPr>
        <w:ind w:left="567"/>
        <w:rPr>
          <w:rFonts w:ascii="Palatino Linotype" w:hAnsi="Palatino Linotype"/>
          <w:b/>
          <w:sz w:val="24"/>
          <w:szCs w:val="24"/>
        </w:rPr>
      </w:pPr>
    </w:p>
    <w:p w:rsidR="000161B6" w:rsidRPr="00C618BE" w:rsidRDefault="000161B6" w:rsidP="003E4DF1">
      <w:pPr>
        <w:pStyle w:val="Prrafodelista"/>
        <w:numPr>
          <w:ilvl w:val="0"/>
          <w:numId w:val="1"/>
        </w:numPr>
        <w:spacing w:line="360" w:lineRule="auto"/>
        <w:ind w:left="426" w:hanging="426"/>
        <w:jc w:val="both"/>
        <w:rPr>
          <w:rFonts w:ascii="Palatino Linotype" w:hAnsi="Palatino Linotype"/>
          <w:sz w:val="24"/>
          <w:szCs w:val="24"/>
        </w:rPr>
      </w:pPr>
      <w:r w:rsidRPr="00C618BE">
        <w:rPr>
          <w:rFonts w:ascii="Palatino Linotype" w:hAnsi="Palatino Linotype"/>
          <w:sz w:val="24"/>
          <w:szCs w:val="24"/>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0161B6" w:rsidRPr="00C618BE" w:rsidRDefault="000161B6" w:rsidP="000161B6">
      <w:pPr>
        <w:pStyle w:val="Prrafodelista"/>
        <w:spacing w:line="360" w:lineRule="auto"/>
        <w:ind w:left="426" w:hanging="426"/>
        <w:jc w:val="both"/>
        <w:rPr>
          <w:rFonts w:ascii="Palatino Linotype" w:hAnsi="Palatino Linotype"/>
          <w:sz w:val="24"/>
          <w:szCs w:val="24"/>
        </w:rPr>
      </w:pPr>
    </w:p>
    <w:p w:rsidR="000161B6" w:rsidRPr="00C618BE" w:rsidRDefault="000161B6" w:rsidP="003E4DF1">
      <w:pPr>
        <w:pStyle w:val="Prrafodelista"/>
        <w:numPr>
          <w:ilvl w:val="0"/>
          <w:numId w:val="1"/>
        </w:numPr>
        <w:spacing w:line="360" w:lineRule="auto"/>
        <w:ind w:left="426" w:hanging="426"/>
        <w:jc w:val="both"/>
        <w:rPr>
          <w:rFonts w:ascii="Palatino Linotype" w:hAnsi="Palatino Linotype"/>
          <w:sz w:val="24"/>
          <w:szCs w:val="24"/>
        </w:rPr>
      </w:pPr>
      <w:r w:rsidRPr="00C618BE">
        <w:rPr>
          <w:rFonts w:ascii="Palatino Linotype" w:hAnsi="Palatino Linotype"/>
          <w:sz w:val="24"/>
          <w:szCs w:val="24"/>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C618BE" w:rsidRPr="00C618BE" w:rsidRDefault="00C618BE" w:rsidP="00C618BE">
      <w:pPr>
        <w:pStyle w:val="Prrafodelista"/>
        <w:rPr>
          <w:rFonts w:ascii="Palatino Linotype" w:hAnsi="Palatino Linotype"/>
          <w:sz w:val="24"/>
          <w:szCs w:val="24"/>
        </w:rPr>
      </w:pPr>
    </w:p>
    <w:p w:rsidR="001E6B94" w:rsidRDefault="000161B6" w:rsidP="001E6B94">
      <w:pPr>
        <w:pStyle w:val="Prrafodelista"/>
        <w:numPr>
          <w:ilvl w:val="0"/>
          <w:numId w:val="1"/>
        </w:numPr>
        <w:spacing w:line="360" w:lineRule="auto"/>
        <w:ind w:left="426"/>
        <w:jc w:val="both"/>
        <w:rPr>
          <w:rFonts w:ascii="Palatino Linotype" w:hAnsi="Palatino Linotype"/>
          <w:sz w:val="24"/>
          <w:szCs w:val="24"/>
        </w:rPr>
      </w:pPr>
      <w:r w:rsidRPr="002021B7">
        <w:rPr>
          <w:rFonts w:ascii="Palatino Linotype" w:hAnsi="Palatino Linotype"/>
          <w:sz w:val="24"/>
          <w:szCs w:val="24"/>
        </w:rPr>
        <w:lastRenderedPageBreak/>
        <w:t>No obstante, existen bastos supuestos en los que la clasificación de la información como reservada debe ser efectuada, sin embargo, en todos los casos debe ser generada cuando se aprecien elementos concretos que nos ayuden a tener certeza de que se está llevando a cabo una correcta clasificación de la información conforme a lo establecido en la Ley Estatal y Ley General de Transparencia.</w:t>
      </w:r>
    </w:p>
    <w:p w:rsidR="004074C0" w:rsidRPr="00CB2E7B" w:rsidRDefault="00F7333F" w:rsidP="003E4DF1">
      <w:pPr>
        <w:pStyle w:val="Ttulo1"/>
        <w:numPr>
          <w:ilvl w:val="0"/>
          <w:numId w:val="2"/>
        </w:numPr>
        <w:rPr>
          <w:szCs w:val="24"/>
        </w:rPr>
      </w:pPr>
      <w:bookmarkStart w:id="14" w:name="_Toc13235990"/>
      <w:r w:rsidRPr="00CB2E7B">
        <w:rPr>
          <w:szCs w:val="24"/>
        </w:rPr>
        <w:t>Conclusión.</w:t>
      </w:r>
      <w:bookmarkEnd w:id="14"/>
    </w:p>
    <w:p w:rsidR="00771F1D" w:rsidRPr="00CB2E7B" w:rsidRDefault="00771F1D" w:rsidP="00530CB3">
      <w:pPr>
        <w:ind w:left="426"/>
        <w:rPr>
          <w:rFonts w:ascii="Palatino Linotype" w:hAnsi="Palatino Linotype"/>
          <w:sz w:val="24"/>
          <w:szCs w:val="24"/>
        </w:rPr>
      </w:pPr>
    </w:p>
    <w:p w:rsidR="00B82949" w:rsidRPr="00AF7BC9" w:rsidRDefault="00F12695" w:rsidP="003E4DF1">
      <w:pPr>
        <w:numPr>
          <w:ilvl w:val="0"/>
          <w:numId w:val="1"/>
        </w:numPr>
        <w:spacing w:after="0" w:line="360" w:lineRule="auto"/>
        <w:ind w:left="426" w:hanging="426"/>
        <w:contextualSpacing/>
        <w:jc w:val="both"/>
      </w:pPr>
      <w:r>
        <w:rPr>
          <w:rFonts w:ascii="Palatino Linotype" w:hAnsi="Palatino Linotype"/>
          <w:sz w:val="24"/>
          <w:szCs w:val="24"/>
        </w:rPr>
        <w:t xml:space="preserve">No debió incorporarse el apartado que aborda la probable clasificación de la información como reservada, en el caso de que </w:t>
      </w:r>
      <w:r w:rsidR="0020553F">
        <w:rPr>
          <w:rFonts w:ascii="Palatino Linotype" w:hAnsi="Palatino Linotype"/>
          <w:sz w:val="24"/>
          <w:szCs w:val="24"/>
        </w:rPr>
        <w:t>la información que deba proporcionarse tenga ese carácter,</w:t>
      </w:r>
      <w:r>
        <w:rPr>
          <w:rFonts w:ascii="Palatino Linotype" w:hAnsi="Palatino Linotype"/>
          <w:sz w:val="24"/>
          <w:szCs w:val="24"/>
        </w:rPr>
        <w:t xml:space="preserve"> t</w:t>
      </w:r>
      <w:r w:rsidR="000161B6" w:rsidRPr="00C618BE">
        <w:rPr>
          <w:rFonts w:ascii="Palatino Linotype" w:hAnsi="Palatino Linotype"/>
          <w:sz w:val="24"/>
          <w:szCs w:val="24"/>
        </w:rPr>
        <w:t xml:space="preserve">oda vez que no es obligación de este Órgano Garante prever situaciones de clasificación, sino que, corresponde al Sujeto Obligado </w:t>
      </w:r>
      <w:r>
        <w:rPr>
          <w:rFonts w:ascii="Palatino Linotype" w:hAnsi="Palatino Linotype"/>
          <w:sz w:val="24"/>
          <w:szCs w:val="24"/>
        </w:rPr>
        <w:t>manifestar tal situación;</w:t>
      </w:r>
      <w:r w:rsidR="00B82949" w:rsidRPr="00C618BE">
        <w:rPr>
          <w:rFonts w:ascii="Palatino Linotype" w:hAnsi="Palatino Linotype"/>
          <w:sz w:val="24"/>
          <w:szCs w:val="24"/>
        </w:rPr>
        <w:t xml:space="preserve"> lo cual en el presente asunto no ocurrió</w:t>
      </w:r>
      <w:r w:rsidR="00C618BE" w:rsidRPr="00C618BE">
        <w:rPr>
          <w:rFonts w:ascii="Palatino Linotype" w:hAnsi="Palatino Linotype"/>
          <w:sz w:val="24"/>
          <w:szCs w:val="24"/>
        </w:rPr>
        <w:t xml:space="preserve">. En ninguna de las actuaciones se hace alusión a una probable </w:t>
      </w:r>
      <w:r w:rsidR="00F23E47">
        <w:rPr>
          <w:rFonts w:ascii="Palatino Linotype" w:hAnsi="Palatino Linotype"/>
          <w:sz w:val="24"/>
          <w:szCs w:val="24"/>
        </w:rPr>
        <w:t>clasificación de la información.</w:t>
      </w:r>
    </w:p>
    <w:p w:rsidR="00AF7BC9" w:rsidRDefault="00AF7BC9" w:rsidP="00AF7BC9">
      <w:pPr>
        <w:spacing w:after="0" w:line="360" w:lineRule="auto"/>
        <w:contextualSpacing/>
        <w:jc w:val="both"/>
        <w:rPr>
          <w:rFonts w:ascii="Palatino Linotype" w:hAnsi="Palatino Linotype"/>
          <w:sz w:val="24"/>
          <w:szCs w:val="24"/>
        </w:rPr>
      </w:pPr>
    </w:p>
    <w:p w:rsidR="00B82949" w:rsidRPr="004800C4" w:rsidRDefault="00B82949" w:rsidP="003C1450"/>
    <w:p w:rsidR="00625340" w:rsidRPr="00CB2E7B" w:rsidRDefault="007A14A8" w:rsidP="00625340">
      <w:pPr>
        <w:spacing w:line="360" w:lineRule="auto"/>
        <w:jc w:val="center"/>
        <w:rPr>
          <w:rFonts w:ascii="Palatino Linotype" w:eastAsia="Calibri" w:hAnsi="Palatino Linotype" w:cs="Arial"/>
          <w:b/>
          <w:sz w:val="24"/>
          <w:szCs w:val="24"/>
        </w:rPr>
      </w:pPr>
      <w:r w:rsidRPr="00CB2E7B">
        <w:rPr>
          <w:rFonts w:ascii="Palatino Linotype" w:eastAsia="Calibri" w:hAnsi="Palatino Linotype" w:cs="Arial"/>
          <w:b/>
          <w:sz w:val="24"/>
          <w:szCs w:val="24"/>
        </w:rPr>
        <w:t>J</w:t>
      </w:r>
      <w:r w:rsidR="00625340" w:rsidRPr="00CB2E7B">
        <w:rPr>
          <w:rFonts w:ascii="Palatino Linotype" w:eastAsia="Calibri" w:hAnsi="Palatino Linotype" w:cs="Arial"/>
          <w:b/>
          <w:sz w:val="24"/>
          <w:szCs w:val="24"/>
        </w:rPr>
        <w:t>OSÉ GUADALUPE LUNA HERNÁNDEZ</w:t>
      </w:r>
    </w:p>
    <w:p w:rsidR="00625340" w:rsidRDefault="009749F9" w:rsidP="00625340">
      <w:pPr>
        <w:spacing w:line="360" w:lineRule="auto"/>
        <w:jc w:val="center"/>
        <w:rPr>
          <w:rFonts w:ascii="Palatino Linotype" w:eastAsia="Calibri" w:hAnsi="Palatino Linotype" w:cs="Arial"/>
          <w:b/>
          <w:sz w:val="24"/>
          <w:szCs w:val="24"/>
        </w:rPr>
      </w:pPr>
      <w:r w:rsidRPr="00CB2E7B">
        <w:rPr>
          <w:rFonts w:ascii="Palatino Linotype" w:eastAsia="Calibri" w:hAnsi="Palatino Linotype" w:cs="Arial"/>
          <w:b/>
          <w:sz w:val="24"/>
          <w:szCs w:val="24"/>
        </w:rPr>
        <w:t>C</w:t>
      </w:r>
      <w:r w:rsidR="00625340" w:rsidRPr="00CB2E7B">
        <w:rPr>
          <w:rFonts w:ascii="Palatino Linotype" w:eastAsia="Calibri" w:hAnsi="Palatino Linotype" w:cs="Arial"/>
          <w:b/>
          <w:sz w:val="24"/>
          <w:szCs w:val="24"/>
        </w:rPr>
        <w:t>OMISIONADO</w:t>
      </w:r>
    </w:p>
    <w:p w:rsidR="00AF7BC9" w:rsidRDefault="00D26BDD" w:rsidP="00625340">
      <w:pPr>
        <w:spacing w:line="360" w:lineRule="auto"/>
        <w:jc w:val="center"/>
        <w:rPr>
          <w:rFonts w:ascii="Palatino Linotype" w:eastAsia="Calibri" w:hAnsi="Palatino Linotype" w:cs="Arial"/>
          <w:b/>
          <w:sz w:val="24"/>
          <w:szCs w:val="24"/>
        </w:rPr>
      </w:pPr>
      <w:r>
        <w:rPr>
          <w:rFonts w:ascii="Palatino Linotype" w:eastAsia="Calibri" w:hAnsi="Palatino Linotype" w:cs="Arial"/>
          <w:b/>
          <w:sz w:val="24"/>
          <w:szCs w:val="24"/>
        </w:rPr>
        <w:t>(Rúbrica)</w:t>
      </w:r>
      <w:r w:rsidR="00D452E1">
        <w:rPr>
          <w:rFonts w:ascii="Palatino Linotype" w:eastAsia="Calibri" w:hAnsi="Palatino Linotype" w:cs="Arial"/>
          <w:b/>
          <w:sz w:val="24"/>
          <w:szCs w:val="24"/>
        </w:rPr>
        <w:t xml:space="preserve"> </w:t>
      </w:r>
    </w:p>
    <w:p w:rsidR="00DB6CC1" w:rsidRPr="00CB2E7B" w:rsidRDefault="00DB6CC1" w:rsidP="00DB6CC1">
      <w:pPr>
        <w:spacing w:line="360" w:lineRule="auto"/>
        <w:rPr>
          <w:rFonts w:ascii="Palatino Linotype" w:hAnsi="Palatino Linotype"/>
          <w:sz w:val="24"/>
          <w:szCs w:val="24"/>
        </w:rPr>
      </w:pPr>
      <w:r w:rsidRPr="00CB2E7B">
        <w:rPr>
          <w:rFonts w:ascii="Palatino Linotype" w:eastAsia="Calibri" w:hAnsi="Palatino Linotype" w:cs="Arial"/>
          <w:b/>
          <w:sz w:val="24"/>
          <w:szCs w:val="24"/>
        </w:rPr>
        <w:t>JGLH/ADM</w:t>
      </w:r>
    </w:p>
    <w:sectPr w:rsidR="00DB6CC1" w:rsidRPr="00CB2E7B" w:rsidSect="00267F73">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7347" w:rsidRDefault="00277347" w:rsidP="00DC559A">
      <w:pPr>
        <w:spacing w:after="0" w:line="240" w:lineRule="auto"/>
      </w:pPr>
      <w:r>
        <w:separator/>
      </w:r>
    </w:p>
  </w:endnote>
  <w:endnote w:type="continuationSeparator" w:id="0">
    <w:p w:rsidR="00277347" w:rsidRDefault="00277347" w:rsidP="00DC5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Gill Sans,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B87289" w:rsidRDefault="00B8728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F6DE8">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F6DE8">
              <w:rPr>
                <w:b/>
                <w:bCs/>
                <w:noProof/>
              </w:rPr>
              <w:t>25</w:t>
            </w:r>
            <w:r>
              <w:rPr>
                <w:b/>
                <w:bCs/>
                <w:sz w:val="24"/>
                <w:szCs w:val="24"/>
              </w:rPr>
              <w:fldChar w:fldCharType="end"/>
            </w:r>
          </w:p>
        </w:sdtContent>
      </w:sdt>
    </w:sdtContent>
  </w:sdt>
  <w:p w:rsidR="00951E8B" w:rsidRDefault="00277347" w:rsidP="00B87289">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7347" w:rsidRDefault="00277347" w:rsidP="00DC559A">
      <w:pPr>
        <w:spacing w:after="0" w:line="240" w:lineRule="auto"/>
      </w:pPr>
      <w:r>
        <w:separator/>
      </w:r>
    </w:p>
  </w:footnote>
  <w:footnote w:type="continuationSeparator" w:id="0">
    <w:p w:rsidR="00277347" w:rsidRDefault="00277347" w:rsidP="00DC559A">
      <w:pPr>
        <w:spacing w:after="0" w:line="240" w:lineRule="auto"/>
      </w:pPr>
      <w:r>
        <w:continuationSeparator/>
      </w:r>
    </w:p>
  </w:footnote>
  <w:footnote w:id="1">
    <w:p w:rsidR="000161B6" w:rsidRDefault="000161B6" w:rsidP="000161B6">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0161B6" w:rsidRPr="00266430" w:rsidRDefault="000161B6" w:rsidP="000161B6">
      <w:pPr>
        <w:pStyle w:val="Textonotapie"/>
        <w:jc w:val="both"/>
      </w:pPr>
      <w:r w:rsidRPr="00266430">
        <w:t xml:space="preserve">1a./J. 2/2012 (9a.). Primera Sala. Décima Época. Semanario Judicial de la Federación y su Gaceta. Libro V, Febrero de 2012, Pág. 533.  </w:t>
      </w:r>
    </w:p>
  </w:footnote>
  <w:footnote w:id="2">
    <w:p w:rsidR="000161B6" w:rsidRPr="00A870EF" w:rsidRDefault="000161B6" w:rsidP="000161B6">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3">
    <w:p w:rsidR="000161B6" w:rsidRDefault="000161B6" w:rsidP="000161B6">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0161B6" w:rsidRDefault="000161B6" w:rsidP="000161B6">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0161B6" w:rsidRPr="001E1F95" w:rsidRDefault="000161B6" w:rsidP="000161B6">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4">
    <w:p w:rsidR="000161B6" w:rsidRPr="00ED2A04" w:rsidRDefault="000161B6" w:rsidP="000161B6">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5">
    <w:p w:rsidR="000161B6" w:rsidRPr="00ED2A04" w:rsidRDefault="000161B6" w:rsidP="000161B6">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6">
    <w:p w:rsidR="000161B6" w:rsidRPr="000406A4" w:rsidRDefault="000161B6" w:rsidP="000161B6">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7">
    <w:p w:rsidR="000161B6" w:rsidRPr="000406A4" w:rsidRDefault="000161B6" w:rsidP="000161B6">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8">
    <w:p w:rsidR="000161B6" w:rsidRPr="000406A4" w:rsidRDefault="000161B6" w:rsidP="000161B6">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9">
    <w:p w:rsidR="000161B6" w:rsidRPr="000406A4" w:rsidRDefault="000161B6" w:rsidP="000161B6">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10">
    <w:p w:rsidR="000161B6" w:rsidRPr="000406A4" w:rsidRDefault="000161B6" w:rsidP="000161B6">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11">
    <w:p w:rsidR="000161B6" w:rsidRPr="00AF123A" w:rsidRDefault="000161B6" w:rsidP="000161B6">
      <w:pPr>
        <w:jc w:val="both"/>
        <w:rPr>
          <w:rFonts w:ascii="Times New Roman" w:eastAsia="Times New Roman" w:hAnsi="Times New Roman" w:cs="Times New Roman"/>
          <w:sz w:val="24"/>
          <w:szCs w:val="24"/>
          <w:lang w:val="es-ES_tradnl" w:eastAsia="es-ES_tradnl"/>
        </w:rPr>
      </w:pPr>
      <w:r>
        <w:rPr>
          <w:rStyle w:val="Refdenotaalpie"/>
        </w:rPr>
        <w:footnoteRef/>
      </w:r>
      <w:r>
        <w:t xml:space="preserve"> </w:t>
      </w:r>
      <w:r>
        <w:rPr>
          <w:lang w:val="es-ES"/>
        </w:rPr>
        <w:t>“</w:t>
      </w:r>
      <w:r w:rsidRPr="00AF123A">
        <w:rPr>
          <w:rFonts w:ascii="Arial" w:eastAsia="Times New Roman" w:hAnsi="Arial" w:cs="Arial"/>
          <w:color w:val="333333"/>
          <w:sz w:val="18"/>
          <w:szCs w:val="18"/>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w:t>
      </w:r>
      <w:r>
        <w:rPr>
          <w:rFonts w:ascii="Arial" w:eastAsia="Times New Roman" w:hAnsi="Arial" w:cs="Arial"/>
          <w:color w:val="333333"/>
          <w:sz w:val="18"/>
          <w:szCs w:val="18"/>
          <w:lang w:val="es-ES_tradnl" w:eastAsia="es-ES_tradnl"/>
        </w:rPr>
        <w:t xml:space="preserve">” Citado en Corte Interamericana de Derechos Humanos. Caso Gonzales Lluy y otros contra Ecuador. Excepciones preliminares, fondo, reparaciones y costas. Sentencia del 01 de septiembre de 2015. Párr. 256. </w:t>
      </w:r>
      <w:r w:rsidRPr="00AF123A">
        <w:rPr>
          <w:rFonts w:ascii="Arial" w:eastAsia="Times New Roman" w:hAnsi="Arial" w:cs="Arial"/>
          <w:color w:val="333333"/>
          <w:sz w:val="18"/>
          <w:szCs w:val="18"/>
          <w:lang w:val="es-ES_tradnl" w:eastAsia="es-ES_tradnl"/>
        </w:rPr>
        <w:t> </w:t>
      </w:r>
    </w:p>
  </w:footnote>
  <w:footnote w:id="12">
    <w:p w:rsidR="000161B6" w:rsidRPr="00A4142C" w:rsidRDefault="000161B6" w:rsidP="000161B6">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27734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9264;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277347">
    <w:pPr>
      <w:pStyle w:val="Encabezado"/>
    </w:pPr>
    <w:r>
      <w:rPr>
        <w:noProof/>
        <w:lang w:eastAsia="es-MX"/>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1634" o:spid="_x0000_s2052" type="#_x0000_t136" style="position:absolute;margin-left:0;margin-top:0;width:566.4pt;height:56.6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50137A" w:rsidRDefault="0027734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27734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4384E"/>
    <w:multiLevelType w:val="hybridMultilevel"/>
    <w:tmpl w:val="4CB642B6"/>
    <w:lvl w:ilvl="0" w:tplc="A9FC98EE">
      <w:start w:val="1"/>
      <w:numFmt w:val="lowerLetter"/>
      <w:lvlText w:val="%1)"/>
      <w:lvlJc w:val="left"/>
      <w:pPr>
        <w:ind w:left="720" w:hanging="360"/>
      </w:pPr>
      <w:rPr>
        <w:rFonts w:ascii="Palatino Linotype" w:eastAsia="Times New Roman" w:hAnsi="Palatino Linotype" w:cs="Aria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975335"/>
    <w:multiLevelType w:val="hybridMultilevel"/>
    <w:tmpl w:val="E790001E"/>
    <w:lvl w:ilvl="0" w:tplc="DAB871A6">
      <w:start w:val="1"/>
      <w:numFmt w:val="upperRoman"/>
      <w:lvlText w:val="%1."/>
      <w:lvlJc w:val="left"/>
      <w:pPr>
        <w:ind w:left="1080"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start w:val="1"/>
      <w:numFmt w:val="bullet"/>
      <w:lvlText w:val="o"/>
      <w:lvlJc w:val="left"/>
      <w:pPr>
        <w:ind w:left="1866" w:hanging="360"/>
      </w:pPr>
      <w:rPr>
        <w:rFonts w:ascii="Courier New" w:hAnsi="Courier New" w:cs="Courier New" w:hint="default"/>
      </w:rPr>
    </w:lvl>
    <w:lvl w:ilvl="2" w:tplc="080A0005">
      <w:start w:val="1"/>
      <w:numFmt w:val="bullet"/>
      <w:lvlText w:val=""/>
      <w:lvlJc w:val="left"/>
      <w:pPr>
        <w:ind w:left="2586" w:hanging="360"/>
      </w:pPr>
      <w:rPr>
        <w:rFonts w:ascii="Wingdings" w:hAnsi="Wingdings" w:hint="default"/>
      </w:rPr>
    </w:lvl>
    <w:lvl w:ilvl="3" w:tplc="080A0001">
      <w:start w:val="1"/>
      <w:numFmt w:val="bullet"/>
      <w:lvlText w:val=""/>
      <w:lvlJc w:val="left"/>
      <w:pPr>
        <w:ind w:left="3306" w:hanging="360"/>
      </w:pPr>
      <w:rPr>
        <w:rFonts w:ascii="Symbol" w:hAnsi="Symbol" w:hint="default"/>
      </w:rPr>
    </w:lvl>
    <w:lvl w:ilvl="4" w:tplc="080A0003">
      <w:start w:val="1"/>
      <w:numFmt w:val="bullet"/>
      <w:lvlText w:val="o"/>
      <w:lvlJc w:val="left"/>
      <w:pPr>
        <w:ind w:left="4026" w:hanging="360"/>
      </w:pPr>
      <w:rPr>
        <w:rFonts w:ascii="Courier New" w:hAnsi="Courier New" w:cs="Courier New" w:hint="default"/>
      </w:rPr>
    </w:lvl>
    <w:lvl w:ilvl="5" w:tplc="080A0005">
      <w:start w:val="1"/>
      <w:numFmt w:val="bullet"/>
      <w:lvlText w:val=""/>
      <w:lvlJc w:val="left"/>
      <w:pPr>
        <w:ind w:left="4746" w:hanging="360"/>
      </w:pPr>
      <w:rPr>
        <w:rFonts w:ascii="Wingdings" w:hAnsi="Wingdings" w:hint="default"/>
      </w:rPr>
    </w:lvl>
    <w:lvl w:ilvl="6" w:tplc="080A0001">
      <w:start w:val="1"/>
      <w:numFmt w:val="bullet"/>
      <w:lvlText w:val=""/>
      <w:lvlJc w:val="left"/>
      <w:pPr>
        <w:ind w:left="5466" w:hanging="360"/>
      </w:pPr>
      <w:rPr>
        <w:rFonts w:ascii="Symbol" w:hAnsi="Symbol" w:hint="default"/>
      </w:rPr>
    </w:lvl>
    <w:lvl w:ilvl="7" w:tplc="080A0003">
      <w:start w:val="1"/>
      <w:numFmt w:val="bullet"/>
      <w:lvlText w:val="o"/>
      <w:lvlJc w:val="left"/>
      <w:pPr>
        <w:ind w:left="6186" w:hanging="360"/>
      </w:pPr>
      <w:rPr>
        <w:rFonts w:ascii="Courier New" w:hAnsi="Courier New" w:cs="Courier New" w:hint="default"/>
      </w:rPr>
    </w:lvl>
    <w:lvl w:ilvl="8" w:tplc="080A0005">
      <w:start w:val="1"/>
      <w:numFmt w:val="bullet"/>
      <w:lvlText w:val=""/>
      <w:lvlJc w:val="left"/>
      <w:pPr>
        <w:ind w:left="6906" w:hanging="360"/>
      </w:pPr>
      <w:rPr>
        <w:rFonts w:ascii="Wingdings" w:hAnsi="Wingdings" w:hint="default"/>
      </w:rPr>
    </w:lvl>
  </w:abstractNum>
  <w:abstractNum w:abstractNumId="3" w15:restartNumberingAfterBreak="0">
    <w:nsid w:val="120B7278"/>
    <w:multiLevelType w:val="hybridMultilevel"/>
    <w:tmpl w:val="5E741642"/>
    <w:lvl w:ilvl="0" w:tplc="080A000B">
      <w:start w:val="1"/>
      <w:numFmt w:val="bullet"/>
      <w:lvlText w:val=""/>
      <w:lvlJc w:val="left"/>
      <w:pPr>
        <w:ind w:left="720" w:hanging="360"/>
      </w:pPr>
      <w:rPr>
        <w:rFonts w:ascii="Wingdings" w:hAnsi="Wingdings"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0A18EE"/>
    <w:multiLevelType w:val="hybridMultilevel"/>
    <w:tmpl w:val="47B8B44C"/>
    <w:lvl w:ilvl="0" w:tplc="8E9C6222">
      <w:start w:val="1"/>
      <w:numFmt w:val="lowerLetter"/>
      <w:lvlText w:val="%1)"/>
      <w:lvlJc w:val="left"/>
      <w:pPr>
        <w:ind w:left="480" w:hanging="360"/>
      </w:pPr>
    </w:lvl>
    <w:lvl w:ilvl="1" w:tplc="080A0019">
      <w:start w:val="1"/>
      <w:numFmt w:val="lowerLetter"/>
      <w:lvlText w:val="%2."/>
      <w:lvlJc w:val="left"/>
      <w:pPr>
        <w:ind w:left="1200" w:hanging="360"/>
      </w:pPr>
    </w:lvl>
    <w:lvl w:ilvl="2" w:tplc="080A001B">
      <w:start w:val="1"/>
      <w:numFmt w:val="lowerRoman"/>
      <w:lvlText w:val="%3."/>
      <w:lvlJc w:val="right"/>
      <w:pPr>
        <w:ind w:left="1920" w:hanging="180"/>
      </w:pPr>
    </w:lvl>
    <w:lvl w:ilvl="3" w:tplc="080A000F">
      <w:start w:val="1"/>
      <w:numFmt w:val="decimal"/>
      <w:lvlText w:val="%4."/>
      <w:lvlJc w:val="left"/>
      <w:pPr>
        <w:ind w:left="2640" w:hanging="360"/>
      </w:pPr>
    </w:lvl>
    <w:lvl w:ilvl="4" w:tplc="080A0019">
      <w:start w:val="1"/>
      <w:numFmt w:val="lowerLetter"/>
      <w:lvlText w:val="%5."/>
      <w:lvlJc w:val="left"/>
      <w:pPr>
        <w:ind w:left="3360" w:hanging="360"/>
      </w:pPr>
    </w:lvl>
    <w:lvl w:ilvl="5" w:tplc="080A001B">
      <w:start w:val="1"/>
      <w:numFmt w:val="lowerRoman"/>
      <w:lvlText w:val="%6."/>
      <w:lvlJc w:val="right"/>
      <w:pPr>
        <w:ind w:left="4080" w:hanging="180"/>
      </w:pPr>
    </w:lvl>
    <w:lvl w:ilvl="6" w:tplc="080A000F">
      <w:start w:val="1"/>
      <w:numFmt w:val="decimal"/>
      <w:lvlText w:val="%7."/>
      <w:lvlJc w:val="left"/>
      <w:pPr>
        <w:ind w:left="4800" w:hanging="360"/>
      </w:pPr>
    </w:lvl>
    <w:lvl w:ilvl="7" w:tplc="080A0019">
      <w:start w:val="1"/>
      <w:numFmt w:val="lowerLetter"/>
      <w:lvlText w:val="%8."/>
      <w:lvlJc w:val="left"/>
      <w:pPr>
        <w:ind w:left="5520" w:hanging="360"/>
      </w:pPr>
    </w:lvl>
    <w:lvl w:ilvl="8" w:tplc="080A001B">
      <w:start w:val="1"/>
      <w:numFmt w:val="lowerRoman"/>
      <w:lvlText w:val="%9."/>
      <w:lvlJc w:val="right"/>
      <w:pPr>
        <w:ind w:left="6240" w:hanging="180"/>
      </w:pPr>
    </w:lvl>
  </w:abstractNum>
  <w:abstractNum w:abstractNumId="5" w15:restartNumberingAfterBreak="0">
    <w:nsid w:val="1D59236B"/>
    <w:multiLevelType w:val="hybridMultilevel"/>
    <w:tmpl w:val="FE082058"/>
    <w:lvl w:ilvl="0" w:tplc="080A000F">
      <w:start w:val="1"/>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B8E2722"/>
    <w:multiLevelType w:val="hybridMultilevel"/>
    <w:tmpl w:val="41F265C8"/>
    <w:lvl w:ilvl="0" w:tplc="15F01DA2">
      <w:start w:val="1"/>
      <w:numFmt w:val="decimal"/>
      <w:lvlText w:val="%1."/>
      <w:lvlJc w:val="left"/>
      <w:pPr>
        <w:ind w:left="72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E957EA6"/>
    <w:multiLevelType w:val="hybridMultilevel"/>
    <w:tmpl w:val="D690F2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77202FA"/>
    <w:multiLevelType w:val="hybridMultilevel"/>
    <w:tmpl w:val="8A766AD2"/>
    <w:lvl w:ilvl="0" w:tplc="72EA014A">
      <w:start w:val="1"/>
      <w:numFmt w:val="decimal"/>
      <w:lvlText w:val="%1."/>
      <w:lvlJc w:val="left"/>
      <w:pPr>
        <w:ind w:left="360" w:hanging="360"/>
      </w:pPr>
      <w:rPr>
        <w:rFonts w:ascii="Palatino Linotype" w:eastAsia="Times New Roman" w:hAnsi="Palatino Linotype" w:hint="default"/>
        <w:b/>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591E178F"/>
    <w:multiLevelType w:val="hybridMultilevel"/>
    <w:tmpl w:val="9A1A76C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56318EF"/>
    <w:multiLevelType w:val="hybridMultilevel"/>
    <w:tmpl w:val="EF669B56"/>
    <w:lvl w:ilvl="0" w:tplc="856AA21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15:restartNumberingAfterBreak="0">
    <w:nsid w:val="792B42BB"/>
    <w:multiLevelType w:val="hybridMultilevel"/>
    <w:tmpl w:val="29C6D890"/>
    <w:lvl w:ilvl="0" w:tplc="294A887A">
      <w:start w:val="1"/>
      <w:numFmt w:val="lowerLetter"/>
      <w:lvlText w:val="%1)"/>
      <w:lvlJc w:val="left"/>
      <w:pPr>
        <w:ind w:left="720" w:hanging="360"/>
      </w:pPr>
      <w:rPr>
        <w:rFonts w:eastAsia="MS Mincho" w:cs="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13"/>
  </w:num>
  <w:num w:numId="3">
    <w:abstractNumId w:val="1"/>
  </w:num>
  <w:num w:numId="4">
    <w:abstractNumId w:val="10"/>
  </w:num>
  <w:num w:numId="5">
    <w:abstractNumId w:val="9"/>
  </w:num>
  <w:num w:numId="6">
    <w:abstractNumId w:val="12"/>
  </w:num>
  <w:num w:numId="7">
    <w:abstractNumId w:val="7"/>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1"/>
  </w:num>
  <w:num w:numId="12">
    <w:abstractNumId w:val="0"/>
  </w:num>
  <w:num w:numId="13">
    <w:abstractNumId w:val="5"/>
  </w:num>
  <w:num w:numId="14">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59A"/>
    <w:rsid w:val="00005338"/>
    <w:rsid w:val="00005556"/>
    <w:rsid w:val="00013F62"/>
    <w:rsid w:val="000161B6"/>
    <w:rsid w:val="0002112E"/>
    <w:rsid w:val="000227F4"/>
    <w:rsid w:val="00024F2A"/>
    <w:rsid w:val="00026199"/>
    <w:rsid w:val="0002684D"/>
    <w:rsid w:val="00037C7C"/>
    <w:rsid w:val="00064D2B"/>
    <w:rsid w:val="00085C1A"/>
    <w:rsid w:val="000A12BD"/>
    <w:rsid w:val="000A3062"/>
    <w:rsid w:val="000A3711"/>
    <w:rsid w:val="000D5811"/>
    <w:rsid w:val="000D79A0"/>
    <w:rsid w:val="000E43AB"/>
    <w:rsid w:val="000F4071"/>
    <w:rsid w:val="000F5099"/>
    <w:rsid w:val="001065F1"/>
    <w:rsid w:val="00123E07"/>
    <w:rsid w:val="00123E1D"/>
    <w:rsid w:val="00134DA0"/>
    <w:rsid w:val="00141135"/>
    <w:rsid w:val="00145961"/>
    <w:rsid w:val="001620F1"/>
    <w:rsid w:val="00175E9F"/>
    <w:rsid w:val="00183A1B"/>
    <w:rsid w:val="00184A6D"/>
    <w:rsid w:val="00187E2D"/>
    <w:rsid w:val="001B2F10"/>
    <w:rsid w:val="001B78B7"/>
    <w:rsid w:val="001C060F"/>
    <w:rsid w:val="001D09E6"/>
    <w:rsid w:val="001D465C"/>
    <w:rsid w:val="001E6B94"/>
    <w:rsid w:val="001F1A7A"/>
    <w:rsid w:val="001F6DE8"/>
    <w:rsid w:val="00203EB6"/>
    <w:rsid w:val="0020553B"/>
    <w:rsid w:val="0020553F"/>
    <w:rsid w:val="00213DF0"/>
    <w:rsid w:val="00220BB9"/>
    <w:rsid w:val="00225758"/>
    <w:rsid w:val="002376B4"/>
    <w:rsid w:val="0025332E"/>
    <w:rsid w:val="00260A10"/>
    <w:rsid w:val="00267F73"/>
    <w:rsid w:val="00274EF3"/>
    <w:rsid w:val="00277347"/>
    <w:rsid w:val="00280FEA"/>
    <w:rsid w:val="00284349"/>
    <w:rsid w:val="002948E5"/>
    <w:rsid w:val="002959E9"/>
    <w:rsid w:val="002A6EF1"/>
    <w:rsid w:val="002B4023"/>
    <w:rsid w:val="002C430B"/>
    <w:rsid w:val="002D2293"/>
    <w:rsid w:val="002D2CD0"/>
    <w:rsid w:val="002D5499"/>
    <w:rsid w:val="002D63B3"/>
    <w:rsid w:val="00300947"/>
    <w:rsid w:val="00306AE2"/>
    <w:rsid w:val="00311D9E"/>
    <w:rsid w:val="0031350A"/>
    <w:rsid w:val="00323DF8"/>
    <w:rsid w:val="00336BC3"/>
    <w:rsid w:val="00340665"/>
    <w:rsid w:val="0034151E"/>
    <w:rsid w:val="003431E5"/>
    <w:rsid w:val="0036287F"/>
    <w:rsid w:val="003629D8"/>
    <w:rsid w:val="00384C92"/>
    <w:rsid w:val="00393382"/>
    <w:rsid w:val="0039566E"/>
    <w:rsid w:val="003B4A57"/>
    <w:rsid w:val="003B6EC6"/>
    <w:rsid w:val="003C1450"/>
    <w:rsid w:val="003C2FFB"/>
    <w:rsid w:val="003C35BC"/>
    <w:rsid w:val="003C7564"/>
    <w:rsid w:val="003E275E"/>
    <w:rsid w:val="003E4DF1"/>
    <w:rsid w:val="004058E2"/>
    <w:rsid w:val="004074C0"/>
    <w:rsid w:val="00432104"/>
    <w:rsid w:val="00435284"/>
    <w:rsid w:val="00437C30"/>
    <w:rsid w:val="00460017"/>
    <w:rsid w:val="004665BF"/>
    <w:rsid w:val="004727BE"/>
    <w:rsid w:val="004800C4"/>
    <w:rsid w:val="0048383C"/>
    <w:rsid w:val="004A69D6"/>
    <w:rsid w:val="004B096A"/>
    <w:rsid w:val="004B4E07"/>
    <w:rsid w:val="004C273D"/>
    <w:rsid w:val="004C3125"/>
    <w:rsid w:val="004C6910"/>
    <w:rsid w:val="004C73FB"/>
    <w:rsid w:val="004D1010"/>
    <w:rsid w:val="004F3292"/>
    <w:rsid w:val="004F54C9"/>
    <w:rsid w:val="00512EC4"/>
    <w:rsid w:val="00517976"/>
    <w:rsid w:val="00526BA8"/>
    <w:rsid w:val="00530CB3"/>
    <w:rsid w:val="00541CF2"/>
    <w:rsid w:val="005429BB"/>
    <w:rsid w:val="00546237"/>
    <w:rsid w:val="005471F8"/>
    <w:rsid w:val="0056327C"/>
    <w:rsid w:val="00570DFF"/>
    <w:rsid w:val="00571B97"/>
    <w:rsid w:val="00585BED"/>
    <w:rsid w:val="0059666F"/>
    <w:rsid w:val="005A4257"/>
    <w:rsid w:val="005B54CA"/>
    <w:rsid w:val="005E324F"/>
    <w:rsid w:val="005E6A45"/>
    <w:rsid w:val="005F53BB"/>
    <w:rsid w:val="00602A7F"/>
    <w:rsid w:val="00611AB9"/>
    <w:rsid w:val="006207D7"/>
    <w:rsid w:val="00623541"/>
    <w:rsid w:val="00625340"/>
    <w:rsid w:val="00637113"/>
    <w:rsid w:val="00660259"/>
    <w:rsid w:val="00674F8B"/>
    <w:rsid w:val="006773C0"/>
    <w:rsid w:val="00684D61"/>
    <w:rsid w:val="006903DD"/>
    <w:rsid w:val="0069542E"/>
    <w:rsid w:val="006B5BD5"/>
    <w:rsid w:val="006D22C2"/>
    <w:rsid w:val="006E4346"/>
    <w:rsid w:val="006E775A"/>
    <w:rsid w:val="006E7A8B"/>
    <w:rsid w:val="006F18A4"/>
    <w:rsid w:val="00703F02"/>
    <w:rsid w:val="0070418E"/>
    <w:rsid w:val="00712288"/>
    <w:rsid w:val="00726689"/>
    <w:rsid w:val="00740D72"/>
    <w:rsid w:val="007477B8"/>
    <w:rsid w:val="00756A7F"/>
    <w:rsid w:val="00764FF6"/>
    <w:rsid w:val="007715FF"/>
    <w:rsid w:val="00771D7C"/>
    <w:rsid w:val="00771F1D"/>
    <w:rsid w:val="00781495"/>
    <w:rsid w:val="0078520D"/>
    <w:rsid w:val="0078690A"/>
    <w:rsid w:val="00787C3A"/>
    <w:rsid w:val="00797A7B"/>
    <w:rsid w:val="007A13C3"/>
    <w:rsid w:val="007A14A8"/>
    <w:rsid w:val="007A2EC0"/>
    <w:rsid w:val="007A6841"/>
    <w:rsid w:val="007B4C9B"/>
    <w:rsid w:val="007D5A9C"/>
    <w:rsid w:val="007D69A7"/>
    <w:rsid w:val="007E514B"/>
    <w:rsid w:val="0080047C"/>
    <w:rsid w:val="0080411B"/>
    <w:rsid w:val="008107BE"/>
    <w:rsid w:val="00815B5D"/>
    <w:rsid w:val="00824147"/>
    <w:rsid w:val="00841881"/>
    <w:rsid w:val="00870BA6"/>
    <w:rsid w:val="00890D79"/>
    <w:rsid w:val="008A491D"/>
    <w:rsid w:val="008B4955"/>
    <w:rsid w:val="008D2E8F"/>
    <w:rsid w:val="008F435F"/>
    <w:rsid w:val="00900C7B"/>
    <w:rsid w:val="00917801"/>
    <w:rsid w:val="0092289B"/>
    <w:rsid w:val="00927436"/>
    <w:rsid w:val="00952495"/>
    <w:rsid w:val="00957F5D"/>
    <w:rsid w:val="00963FCC"/>
    <w:rsid w:val="00964B55"/>
    <w:rsid w:val="009749F9"/>
    <w:rsid w:val="00992F9E"/>
    <w:rsid w:val="00995EEC"/>
    <w:rsid w:val="009B6AAE"/>
    <w:rsid w:val="009C6D1F"/>
    <w:rsid w:val="009D4B91"/>
    <w:rsid w:val="009D5257"/>
    <w:rsid w:val="009E08AF"/>
    <w:rsid w:val="009F7309"/>
    <w:rsid w:val="009F7767"/>
    <w:rsid w:val="00A11153"/>
    <w:rsid w:val="00A143D1"/>
    <w:rsid w:val="00A2127D"/>
    <w:rsid w:val="00A37917"/>
    <w:rsid w:val="00A66803"/>
    <w:rsid w:val="00A67ADB"/>
    <w:rsid w:val="00A801BF"/>
    <w:rsid w:val="00A828B4"/>
    <w:rsid w:val="00A912FC"/>
    <w:rsid w:val="00A947EF"/>
    <w:rsid w:val="00AA45BE"/>
    <w:rsid w:val="00AC07BB"/>
    <w:rsid w:val="00AE30E5"/>
    <w:rsid w:val="00AE455C"/>
    <w:rsid w:val="00AE7918"/>
    <w:rsid w:val="00AF7BC9"/>
    <w:rsid w:val="00B01598"/>
    <w:rsid w:val="00B02F56"/>
    <w:rsid w:val="00B04AA8"/>
    <w:rsid w:val="00B06DD6"/>
    <w:rsid w:val="00B14EBC"/>
    <w:rsid w:val="00B17543"/>
    <w:rsid w:val="00B3063B"/>
    <w:rsid w:val="00B43601"/>
    <w:rsid w:val="00B47F96"/>
    <w:rsid w:val="00B50465"/>
    <w:rsid w:val="00B76303"/>
    <w:rsid w:val="00B82949"/>
    <w:rsid w:val="00B87289"/>
    <w:rsid w:val="00BC3314"/>
    <w:rsid w:val="00BC7E6A"/>
    <w:rsid w:val="00BD29B2"/>
    <w:rsid w:val="00BD586B"/>
    <w:rsid w:val="00BE26FB"/>
    <w:rsid w:val="00BE6E85"/>
    <w:rsid w:val="00BF0ED2"/>
    <w:rsid w:val="00C00F08"/>
    <w:rsid w:val="00C02AF0"/>
    <w:rsid w:val="00C137A0"/>
    <w:rsid w:val="00C142A8"/>
    <w:rsid w:val="00C16265"/>
    <w:rsid w:val="00C230CB"/>
    <w:rsid w:val="00C31FAC"/>
    <w:rsid w:val="00C320A9"/>
    <w:rsid w:val="00C42733"/>
    <w:rsid w:val="00C54DC0"/>
    <w:rsid w:val="00C60B48"/>
    <w:rsid w:val="00C618BE"/>
    <w:rsid w:val="00C65FFF"/>
    <w:rsid w:val="00C75139"/>
    <w:rsid w:val="00C91DDB"/>
    <w:rsid w:val="00CA1D90"/>
    <w:rsid w:val="00CB290D"/>
    <w:rsid w:val="00CB2E7B"/>
    <w:rsid w:val="00CC7D48"/>
    <w:rsid w:val="00CD3FD7"/>
    <w:rsid w:val="00CD49FA"/>
    <w:rsid w:val="00CD65AA"/>
    <w:rsid w:val="00CD766A"/>
    <w:rsid w:val="00CD77B9"/>
    <w:rsid w:val="00CE4991"/>
    <w:rsid w:val="00CE64A4"/>
    <w:rsid w:val="00CE6C44"/>
    <w:rsid w:val="00CF05D3"/>
    <w:rsid w:val="00D02606"/>
    <w:rsid w:val="00D0514A"/>
    <w:rsid w:val="00D13632"/>
    <w:rsid w:val="00D26BDD"/>
    <w:rsid w:val="00D35091"/>
    <w:rsid w:val="00D42114"/>
    <w:rsid w:val="00D4328A"/>
    <w:rsid w:val="00D4396D"/>
    <w:rsid w:val="00D452E1"/>
    <w:rsid w:val="00D5029F"/>
    <w:rsid w:val="00D60041"/>
    <w:rsid w:val="00D62508"/>
    <w:rsid w:val="00D7244B"/>
    <w:rsid w:val="00D72D15"/>
    <w:rsid w:val="00D90189"/>
    <w:rsid w:val="00D91003"/>
    <w:rsid w:val="00D95D5E"/>
    <w:rsid w:val="00DA1785"/>
    <w:rsid w:val="00DA4B4E"/>
    <w:rsid w:val="00DB2E2D"/>
    <w:rsid w:val="00DB3E9F"/>
    <w:rsid w:val="00DB6CC1"/>
    <w:rsid w:val="00DC35D1"/>
    <w:rsid w:val="00DC559A"/>
    <w:rsid w:val="00DE456D"/>
    <w:rsid w:val="00DF36B0"/>
    <w:rsid w:val="00E015EC"/>
    <w:rsid w:val="00E3333F"/>
    <w:rsid w:val="00E40A86"/>
    <w:rsid w:val="00E419FE"/>
    <w:rsid w:val="00E52153"/>
    <w:rsid w:val="00E56EEA"/>
    <w:rsid w:val="00E61BE7"/>
    <w:rsid w:val="00E661C7"/>
    <w:rsid w:val="00E800CE"/>
    <w:rsid w:val="00E85FDE"/>
    <w:rsid w:val="00E940EB"/>
    <w:rsid w:val="00E94D66"/>
    <w:rsid w:val="00E96644"/>
    <w:rsid w:val="00E974FA"/>
    <w:rsid w:val="00EA3ED5"/>
    <w:rsid w:val="00EB2AB4"/>
    <w:rsid w:val="00ED4F35"/>
    <w:rsid w:val="00ED5A5F"/>
    <w:rsid w:val="00EF5CBC"/>
    <w:rsid w:val="00F02D41"/>
    <w:rsid w:val="00F11351"/>
    <w:rsid w:val="00F12695"/>
    <w:rsid w:val="00F12DC5"/>
    <w:rsid w:val="00F15522"/>
    <w:rsid w:val="00F237C4"/>
    <w:rsid w:val="00F23E47"/>
    <w:rsid w:val="00F313D4"/>
    <w:rsid w:val="00F3485F"/>
    <w:rsid w:val="00F358A9"/>
    <w:rsid w:val="00F36ACA"/>
    <w:rsid w:val="00F4017D"/>
    <w:rsid w:val="00F42DD4"/>
    <w:rsid w:val="00F54D5C"/>
    <w:rsid w:val="00F62245"/>
    <w:rsid w:val="00F67EC8"/>
    <w:rsid w:val="00F72C33"/>
    <w:rsid w:val="00F72F39"/>
    <w:rsid w:val="00F7333F"/>
    <w:rsid w:val="00F77A03"/>
    <w:rsid w:val="00F84DA1"/>
    <w:rsid w:val="00F96926"/>
    <w:rsid w:val="00F9751B"/>
    <w:rsid w:val="00FA00F2"/>
    <w:rsid w:val="00FA79F7"/>
    <w:rsid w:val="00FB30FD"/>
    <w:rsid w:val="00FB4059"/>
    <w:rsid w:val="00FC0FE3"/>
    <w:rsid w:val="00FC3ED9"/>
    <w:rsid w:val="00FE17D8"/>
    <w:rsid w:val="00FF7C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D23D5E5A-C5C6-41B8-AF29-6E6E03829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340"/>
  </w:style>
  <w:style w:type="paragraph" w:styleId="Ttulo1">
    <w:name w:val="heading 1"/>
    <w:basedOn w:val="Normal"/>
    <w:next w:val="Normal"/>
    <w:link w:val="Ttulo1Car"/>
    <w:uiPriority w:val="9"/>
    <w:qFormat/>
    <w:rsid w:val="00625340"/>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F733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CC7D4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D0514A"/>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C559A"/>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DC559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C559A"/>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DC559A"/>
    <w:rPr>
      <w:vertAlign w:val="superscript"/>
    </w:rPr>
  </w:style>
  <w:style w:type="paragraph" w:styleId="Piedepgina">
    <w:name w:val="footer"/>
    <w:basedOn w:val="Normal"/>
    <w:link w:val="PiedepginaCar"/>
    <w:uiPriority w:val="99"/>
    <w:unhideWhenUsed/>
    <w:rsid w:val="00DC559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C559A"/>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C559A"/>
  </w:style>
  <w:style w:type="paragraph" w:styleId="Encabezado">
    <w:name w:val="header"/>
    <w:basedOn w:val="Normal"/>
    <w:link w:val="EncabezadoCar"/>
    <w:uiPriority w:val="99"/>
    <w:unhideWhenUsed/>
    <w:rsid w:val="00DC559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C559A"/>
  </w:style>
  <w:style w:type="paragraph" w:styleId="Sinespaciado">
    <w:name w:val="No Spacing"/>
    <w:uiPriority w:val="1"/>
    <w:qFormat/>
    <w:rsid w:val="00DC559A"/>
    <w:pPr>
      <w:spacing w:after="0" w:line="240" w:lineRule="auto"/>
    </w:pPr>
  </w:style>
  <w:style w:type="character" w:customStyle="1" w:styleId="Ttulo1Car">
    <w:name w:val="Título 1 Car"/>
    <w:basedOn w:val="Fuentedeprrafopredeter"/>
    <w:link w:val="Ttulo1"/>
    <w:uiPriority w:val="9"/>
    <w:rsid w:val="00625340"/>
    <w:rPr>
      <w:rFonts w:ascii="Palatino Linotype" w:eastAsiaTheme="majorEastAsia" w:hAnsi="Palatino Linotype" w:cstheme="majorBidi"/>
      <w:b/>
      <w:sz w:val="24"/>
      <w:szCs w:val="32"/>
    </w:rPr>
  </w:style>
  <w:style w:type="paragraph" w:styleId="TtulodeTDC">
    <w:name w:val="TOC Heading"/>
    <w:basedOn w:val="Ttulo1"/>
    <w:next w:val="Normal"/>
    <w:uiPriority w:val="39"/>
    <w:unhideWhenUsed/>
    <w:qFormat/>
    <w:rsid w:val="00585BED"/>
    <w:pPr>
      <w:outlineLvl w:val="9"/>
    </w:pPr>
    <w:rPr>
      <w:lang w:eastAsia="es-MX"/>
    </w:rPr>
  </w:style>
  <w:style w:type="paragraph" w:styleId="TDC1">
    <w:name w:val="toc 1"/>
    <w:basedOn w:val="Normal"/>
    <w:next w:val="Normal"/>
    <w:autoRedefine/>
    <w:uiPriority w:val="39"/>
    <w:unhideWhenUsed/>
    <w:rsid w:val="00585BED"/>
    <w:pPr>
      <w:spacing w:after="100"/>
    </w:pPr>
  </w:style>
  <w:style w:type="character" w:styleId="Hipervnculo">
    <w:name w:val="Hyperlink"/>
    <w:basedOn w:val="Fuentedeprrafopredeter"/>
    <w:uiPriority w:val="99"/>
    <w:unhideWhenUsed/>
    <w:rsid w:val="00585BED"/>
    <w:rPr>
      <w:color w:val="0563C1" w:themeColor="hyperlink"/>
      <w:u w:val="single"/>
    </w:rPr>
  </w:style>
  <w:style w:type="paragraph" w:styleId="Textodeglobo">
    <w:name w:val="Balloon Text"/>
    <w:basedOn w:val="Normal"/>
    <w:link w:val="TextodegloboCar"/>
    <w:uiPriority w:val="99"/>
    <w:semiHidden/>
    <w:unhideWhenUsed/>
    <w:rsid w:val="0020553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0553B"/>
    <w:rPr>
      <w:rFonts w:ascii="Segoe UI" w:hAnsi="Segoe UI" w:cs="Segoe UI"/>
      <w:sz w:val="18"/>
      <w:szCs w:val="18"/>
    </w:rPr>
  </w:style>
  <w:style w:type="paragraph" w:customStyle="1" w:styleId="Default">
    <w:name w:val="Default"/>
    <w:rsid w:val="00ED4F35"/>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703F02"/>
    <w:pPr>
      <w:spacing w:before="100" w:beforeAutospacing="1" w:after="100" w:afterAutospacing="1" w:line="240" w:lineRule="auto"/>
    </w:pPr>
    <w:rPr>
      <w:rFonts w:ascii="Times New Roman" w:eastAsiaTheme="minorEastAsia" w:hAnsi="Times New Roman" w:cs="Times New Roman"/>
      <w:sz w:val="24"/>
      <w:szCs w:val="24"/>
      <w:lang w:eastAsia="es-MX"/>
    </w:rPr>
  </w:style>
  <w:style w:type="table" w:styleId="Tablaconcuadrcula">
    <w:name w:val="Table Grid"/>
    <w:basedOn w:val="Tablanormal"/>
    <w:uiPriority w:val="39"/>
    <w:rsid w:val="001B2F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
    <w:name w:val="j"/>
    <w:basedOn w:val="Normal"/>
    <w:rsid w:val="001B2F10"/>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1B2F1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4Car">
    <w:name w:val="Título 4 Car"/>
    <w:basedOn w:val="Fuentedeprrafopredeter"/>
    <w:link w:val="Ttulo4"/>
    <w:uiPriority w:val="9"/>
    <w:semiHidden/>
    <w:rsid w:val="00D0514A"/>
    <w:rPr>
      <w:rFonts w:asciiTheme="majorHAnsi" w:eastAsiaTheme="majorEastAsia" w:hAnsiTheme="majorHAnsi" w:cstheme="majorBidi"/>
      <w:i/>
      <w:iCs/>
      <w:color w:val="2E74B5" w:themeColor="accent1" w:themeShade="BF"/>
      <w:sz w:val="24"/>
      <w:szCs w:val="24"/>
      <w:lang w:val="es-ES" w:eastAsia="es-ES"/>
    </w:rPr>
  </w:style>
  <w:style w:type="character" w:customStyle="1" w:styleId="Ttulo2Car">
    <w:name w:val="Título 2 Car"/>
    <w:basedOn w:val="Fuentedeprrafopredeter"/>
    <w:link w:val="Ttulo2"/>
    <w:uiPriority w:val="9"/>
    <w:rsid w:val="00F7333F"/>
    <w:rPr>
      <w:rFonts w:asciiTheme="majorHAnsi" w:eastAsiaTheme="majorEastAsia" w:hAnsiTheme="majorHAnsi" w:cstheme="majorBidi"/>
      <w:color w:val="2E74B5" w:themeColor="accent1" w:themeShade="BF"/>
      <w:sz w:val="26"/>
      <w:szCs w:val="26"/>
    </w:rPr>
  </w:style>
  <w:style w:type="paragraph" w:styleId="TDC2">
    <w:name w:val="toc 2"/>
    <w:basedOn w:val="Normal"/>
    <w:next w:val="Normal"/>
    <w:autoRedefine/>
    <w:uiPriority w:val="39"/>
    <w:unhideWhenUsed/>
    <w:rsid w:val="00A2127D"/>
    <w:pPr>
      <w:spacing w:after="100"/>
      <w:ind w:left="220"/>
    </w:pPr>
  </w:style>
  <w:style w:type="character" w:customStyle="1" w:styleId="apple-converted-space">
    <w:name w:val="apple-converted-space"/>
    <w:basedOn w:val="Fuentedeprrafopredeter"/>
    <w:rsid w:val="000A3711"/>
  </w:style>
  <w:style w:type="character" w:customStyle="1" w:styleId="Ttulo3Car">
    <w:name w:val="Título 3 Car"/>
    <w:basedOn w:val="Fuentedeprrafopredeter"/>
    <w:link w:val="Ttulo3"/>
    <w:uiPriority w:val="9"/>
    <w:rsid w:val="00CC7D48"/>
    <w:rPr>
      <w:rFonts w:asciiTheme="majorHAnsi" w:eastAsiaTheme="majorEastAsia" w:hAnsiTheme="majorHAnsi" w:cstheme="majorBidi"/>
      <w:color w:val="1F4D78" w:themeColor="accent1" w:themeShade="7F"/>
      <w:sz w:val="24"/>
      <w:szCs w:val="24"/>
    </w:rPr>
  </w:style>
  <w:style w:type="paragraph" w:styleId="TDC3">
    <w:name w:val="toc 3"/>
    <w:basedOn w:val="Normal"/>
    <w:next w:val="Normal"/>
    <w:autoRedefine/>
    <w:uiPriority w:val="39"/>
    <w:unhideWhenUsed/>
    <w:rsid w:val="00CC7D48"/>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138291">
      <w:bodyDiv w:val="1"/>
      <w:marLeft w:val="0"/>
      <w:marRight w:val="0"/>
      <w:marTop w:val="0"/>
      <w:marBottom w:val="0"/>
      <w:divBdr>
        <w:top w:val="none" w:sz="0" w:space="0" w:color="auto"/>
        <w:left w:val="none" w:sz="0" w:space="0" w:color="auto"/>
        <w:bottom w:val="none" w:sz="0" w:space="0" w:color="auto"/>
        <w:right w:val="none" w:sz="0" w:space="0" w:color="auto"/>
      </w:divBdr>
    </w:div>
    <w:div w:id="99152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le.rae.es/?id=FdI00O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4E4FC-6AA2-46F0-A284-7ED0B5D69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4447</Words>
  <Characters>24463</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ALICE</Company>
  <LinksUpToDate>false</LinksUpToDate>
  <CharactersWithSpaces>28853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dc:creator>
  <cp:keywords/>
  <dc:description/>
  <cp:lastModifiedBy>USUARIO INFOEM</cp:lastModifiedBy>
  <cp:revision>2</cp:revision>
  <cp:lastPrinted>2019-08-05T22:00:00Z</cp:lastPrinted>
  <dcterms:created xsi:type="dcterms:W3CDTF">2019-08-21T16:41:00Z</dcterms:created>
  <dcterms:modified xsi:type="dcterms:W3CDTF">2019-08-21T16:41:00Z</dcterms:modified>
</cp:coreProperties>
</file>